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E587B" w14:textId="130D7A23" w:rsidR="007446BB" w:rsidRDefault="00457E71" w:rsidP="007446BB">
      <w:pPr>
        <w:autoSpaceDE/>
        <w:autoSpaceDN/>
        <w:adjustRightInd/>
        <w:spacing w:after="0"/>
      </w:pPr>
      <w:r>
        <w:t xml:space="preserve"> </w:t>
      </w:r>
    </w:p>
    <w:p w14:paraId="4AD52E3D" w14:textId="77777777" w:rsidR="007446BB" w:rsidRDefault="007446BB" w:rsidP="007446BB">
      <w:pPr>
        <w:autoSpaceDE/>
        <w:autoSpaceDN/>
        <w:adjustRightInd/>
        <w:spacing w:after="0"/>
        <w:sectPr w:rsidR="007446BB" w:rsidSect="007446BB">
          <w:headerReference w:type="even" r:id="rId8"/>
          <w:headerReference w:type="default" r:id="rId9"/>
          <w:footerReference w:type="even" r:id="rId10"/>
          <w:footerReference w:type="default" r:id="rId11"/>
          <w:headerReference w:type="first" r:id="rId12"/>
          <w:footerReference w:type="first" r:id="rId13"/>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14:anchorId="1161AC01" wp14:editId="6B10601A">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ADB7" w14:textId="77777777" w:rsidR="009D6093" w:rsidRDefault="009D6093" w:rsidP="007446BB">
                            <w:pPr>
                              <w:spacing w:after="0"/>
                              <w:ind w:right="-46"/>
                              <w:jc w:val="left"/>
                              <w:rPr>
                                <w:rFonts w:cs="Arial"/>
                                <w:b/>
                                <w:bCs/>
                                <w:sz w:val="52"/>
                                <w:szCs w:val="52"/>
                              </w:rPr>
                            </w:pPr>
                          </w:p>
                          <w:p w14:paraId="5A0E36B2" w14:textId="77777777" w:rsidR="009D6093" w:rsidRPr="0037393E" w:rsidRDefault="009D6093" w:rsidP="007446BB">
                            <w:pPr>
                              <w:spacing w:after="0"/>
                              <w:ind w:right="-46"/>
                              <w:jc w:val="left"/>
                              <w:rPr>
                                <w:rFonts w:cs="Arial"/>
                                <w:b/>
                                <w:bCs/>
                                <w:sz w:val="52"/>
                                <w:szCs w:val="52"/>
                              </w:rPr>
                            </w:pPr>
                          </w:p>
                          <w:p w14:paraId="6E55361C" w14:textId="77777777" w:rsidR="009D6093" w:rsidRDefault="009D6093" w:rsidP="007446BB">
                            <w:pPr>
                              <w:spacing w:after="0"/>
                              <w:ind w:right="-46"/>
                              <w:jc w:val="left"/>
                              <w:rPr>
                                <w:rFonts w:cs="Arial"/>
                                <w:b/>
                                <w:bCs/>
                                <w:sz w:val="52"/>
                                <w:szCs w:val="52"/>
                              </w:rPr>
                            </w:pPr>
                            <w:r>
                              <w:rPr>
                                <w:rFonts w:cs="Arial"/>
                                <w:b/>
                                <w:bCs/>
                                <w:sz w:val="52"/>
                                <w:szCs w:val="52"/>
                              </w:rPr>
                              <w:t>Money Matters</w:t>
                            </w:r>
                          </w:p>
                          <w:p w14:paraId="5609BC24" w14:textId="2E11BAA2" w:rsidR="009D6093" w:rsidRDefault="009D6093" w:rsidP="007446BB">
                            <w:pPr>
                              <w:spacing w:after="0"/>
                              <w:ind w:right="-46"/>
                              <w:jc w:val="left"/>
                              <w:rPr>
                                <w:rFonts w:cs="Arial"/>
                                <w:b/>
                                <w:bCs/>
                                <w:sz w:val="52"/>
                                <w:szCs w:val="52"/>
                              </w:rPr>
                            </w:pPr>
                            <w:r>
                              <w:rPr>
                                <w:rFonts w:cs="Arial"/>
                                <w:b/>
                                <w:bCs/>
                                <w:sz w:val="52"/>
                                <w:szCs w:val="52"/>
                              </w:rPr>
                              <w:t xml:space="preserve">The County Council's Capital Financial Position </w:t>
                            </w:r>
                          </w:p>
                          <w:p w14:paraId="4E83A78A" w14:textId="6BAB5372" w:rsidR="009D6093" w:rsidRPr="0037393E" w:rsidRDefault="009D6093" w:rsidP="007446BB">
                            <w:pPr>
                              <w:spacing w:after="0"/>
                              <w:ind w:right="-46"/>
                              <w:jc w:val="left"/>
                              <w:rPr>
                                <w:rFonts w:cs="Arial"/>
                                <w:b/>
                                <w:bCs/>
                                <w:sz w:val="52"/>
                                <w:szCs w:val="52"/>
                              </w:rPr>
                            </w:pPr>
                            <w:r>
                              <w:rPr>
                                <w:rFonts w:cs="Arial"/>
                                <w:b/>
                                <w:bCs/>
                                <w:sz w:val="52"/>
                                <w:szCs w:val="52"/>
                              </w:rPr>
                              <w:t>As at 31</w:t>
                            </w:r>
                            <w:r w:rsidRPr="00CA72D1">
                              <w:rPr>
                                <w:rFonts w:cs="Arial"/>
                                <w:b/>
                                <w:bCs/>
                                <w:sz w:val="52"/>
                                <w:szCs w:val="52"/>
                                <w:vertAlign w:val="superscript"/>
                              </w:rPr>
                              <w:t>st</w:t>
                            </w:r>
                            <w:r>
                              <w:rPr>
                                <w:rFonts w:cs="Arial"/>
                                <w:b/>
                                <w:bCs/>
                                <w:sz w:val="52"/>
                                <w:szCs w:val="52"/>
                              </w:rPr>
                              <w:t xml:space="preserve"> December</w:t>
                            </w:r>
                            <w:r w:rsidRPr="00406EFB">
                              <w:rPr>
                                <w:rFonts w:cs="Arial"/>
                                <w:b/>
                                <w:bCs/>
                                <w:sz w:val="52"/>
                                <w:szCs w:val="52"/>
                              </w:rPr>
                              <w:t xml:space="preserve"> 2017</w:t>
                            </w:r>
                          </w:p>
                          <w:p w14:paraId="2BBF39A4" w14:textId="77777777" w:rsidR="009D6093" w:rsidRPr="0037393E" w:rsidRDefault="009D6093" w:rsidP="007446BB">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161AC01" id="_x0000_t202" coordsize="21600,21600" o:spt="202" path="m,l,21600r21600,l21600,xe">
                <v:stroke joinstyle="miter"/>
                <v:path gradientshapeok="t" o:connecttype="rect"/>
              </v:shapetype>
              <v:shape id="Text Box 4" o:spid="_x0000_s1026" type="#_x0000_t202" style="position:absolute;left:0;text-align:left;margin-left:-38.95pt;margin-top:454.25pt;width:522.85pt;height:2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" filled="f" stroked="f">
                <v:textbox>
                  <w:txbxContent>
                    <w:p w14:paraId="574DADB7" w14:textId="77777777" w:rsidR="009D6093" w:rsidRDefault="009D6093" w:rsidP="007446BB">
                      <w:pPr>
                        <w:spacing w:after="0"/>
                        <w:ind w:right="-46"/>
                        <w:jc w:val="left"/>
                        <w:rPr>
                          <w:rFonts w:cs="Arial"/>
                          <w:b/>
                          <w:bCs/>
                          <w:sz w:val="52"/>
                          <w:szCs w:val="52"/>
                        </w:rPr>
                      </w:pPr>
                    </w:p>
                    <w:p w14:paraId="5A0E36B2" w14:textId="77777777" w:rsidR="009D6093" w:rsidRPr="0037393E" w:rsidRDefault="009D6093" w:rsidP="007446BB">
                      <w:pPr>
                        <w:spacing w:after="0"/>
                        <w:ind w:right="-46"/>
                        <w:jc w:val="left"/>
                        <w:rPr>
                          <w:rFonts w:cs="Arial"/>
                          <w:b/>
                          <w:bCs/>
                          <w:sz w:val="52"/>
                          <w:szCs w:val="52"/>
                        </w:rPr>
                      </w:pPr>
                    </w:p>
                    <w:p w14:paraId="6E55361C" w14:textId="77777777" w:rsidR="009D6093" w:rsidRDefault="009D6093" w:rsidP="007446BB">
                      <w:pPr>
                        <w:spacing w:after="0"/>
                        <w:ind w:right="-46"/>
                        <w:jc w:val="left"/>
                        <w:rPr>
                          <w:rFonts w:cs="Arial"/>
                          <w:b/>
                          <w:bCs/>
                          <w:sz w:val="52"/>
                          <w:szCs w:val="52"/>
                        </w:rPr>
                      </w:pPr>
                      <w:r>
                        <w:rPr>
                          <w:rFonts w:cs="Arial"/>
                          <w:b/>
                          <w:bCs/>
                          <w:sz w:val="52"/>
                          <w:szCs w:val="52"/>
                        </w:rPr>
                        <w:t>Money Matters</w:t>
                      </w:r>
                    </w:p>
                    <w:p w14:paraId="5609BC24" w14:textId="2E11BAA2" w:rsidR="009D6093" w:rsidRDefault="009D6093" w:rsidP="007446BB">
                      <w:pPr>
                        <w:spacing w:after="0"/>
                        <w:ind w:right="-46"/>
                        <w:jc w:val="left"/>
                        <w:rPr>
                          <w:rFonts w:cs="Arial"/>
                          <w:b/>
                          <w:bCs/>
                          <w:sz w:val="52"/>
                          <w:szCs w:val="52"/>
                        </w:rPr>
                      </w:pPr>
                      <w:r>
                        <w:rPr>
                          <w:rFonts w:cs="Arial"/>
                          <w:b/>
                          <w:bCs/>
                          <w:sz w:val="52"/>
                          <w:szCs w:val="52"/>
                        </w:rPr>
                        <w:t xml:space="preserve">The County Council's Capital Financial Position </w:t>
                      </w:r>
                    </w:p>
                    <w:p w14:paraId="4E83A78A" w14:textId="6BAB5372" w:rsidR="009D6093" w:rsidRPr="0037393E" w:rsidRDefault="009D6093" w:rsidP="007446BB">
                      <w:pPr>
                        <w:spacing w:after="0"/>
                        <w:ind w:right="-46"/>
                        <w:jc w:val="left"/>
                        <w:rPr>
                          <w:rFonts w:cs="Arial"/>
                          <w:b/>
                          <w:bCs/>
                          <w:sz w:val="52"/>
                          <w:szCs w:val="52"/>
                        </w:rPr>
                      </w:pPr>
                      <w:r>
                        <w:rPr>
                          <w:rFonts w:cs="Arial"/>
                          <w:b/>
                          <w:bCs/>
                          <w:sz w:val="52"/>
                          <w:szCs w:val="52"/>
                        </w:rPr>
                        <w:t>As at 31</w:t>
                      </w:r>
                      <w:r w:rsidRPr="00CA72D1">
                        <w:rPr>
                          <w:rFonts w:cs="Arial"/>
                          <w:b/>
                          <w:bCs/>
                          <w:sz w:val="52"/>
                          <w:szCs w:val="52"/>
                          <w:vertAlign w:val="superscript"/>
                        </w:rPr>
                        <w:t>st</w:t>
                      </w:r>
                      <w:r>
                        <w:rPr>
                          <w:rFonts w:cs="Arial"/>
                          <w:b/>
                          <w:bCs/>
                          <w:sz w:val="52"/>
                          <w:szCs w:val="52"/>
                        </w:rPr>
                        <w:t xml:space="preserve"> December</w:t>
                      </w:r>
                      <w:r w:rsidRPr="00406EFB">
                        <w:rPr>
                          <w:rFonts w:cs="Arial"/>
                          <w:b/>
                          <w:bCs/>
                          <w:sz w:val="52"/>
                          <w:szCs w:val="52"/>
                        </w:rPr>
                        <w:t xml:space="preserve"> 2017</w:t>
                      </w:r>
                    </w:p>
                    <w:p w14:paraId="2BBF39A4" w14:textId="77777777" w:rsidR="009D6093" w:rsidRPr="0037393E" w:rsidRDefault="009D6093" w:rsidP="007446BB">
                      <w:pPr>
                        <w:spacing w:after="0"/>
                        <w:ind w:right="-46"/>
                        <w:jc w:val="left"/>
                        <w:rPr>
                          <w:rFonts w:cs="Arial"/>
                          <w:b/>
                          <w:bCs/>
                          <w:sz w:val="52"/>
                          <w:szCs w:val="52"/>
                        </w:rPr>
                      </w:pPr>
                    </w:p>
                  </w:txbxContent>
                </v:textbox>
              </v:shape>
            </w:pict>
          </mc:Fallback>
        </mc:AlternateContent>
      </w:r>
    </w:p>
    <w:p w14:paraId="36665ADC" w14:textId="77777777" w:rsidR="00B75C24" w:rsidRPr="008925CE" w:rsidRDefault="00B75C24" w:rsidP="00B75C24">
      <w:pPr>
        <w:pStyle w:val="Body1"/>
        <w:numPr>
          <w:ilvl w:val="0"/>
          <w:numId w:val="36"/>
        </w:numPr>
        <w:tabs>
          <w:tab w:val="left" w:pos="567"/>
        </w:tabs>
        <w:spacing w:after="0" w:line="240" w:lineRule="auto"/>
        <w:ind w:left="0" w:right="-613" w:firstLine="0"/>
        <w:jc w:val="both"/>
        <w:rPr>
          <w:rFonts w:cs="Arial"/>
          <w:b/>
          <w:szCs w:val="24"/>
        </w:rPr>
      </w:pPr>
      <w:r w:rsidRPr="008925CE">
        <w:rPr>
          <w:rFonts w:cs="Arial"/>
          <w:b/>
          <w:szCs w:val="24"/>
        </w:rPr>
        <w:lastRenderedPageBreak/>
        <w:t>Capital Programme 2017-18</w:t>
      </w:r>
    </w:p>
    <w:p w14:paraId="0FB86891" w14:textId="77777777" w:rsidR="00B75C24" w:rsidRPr="008925CE" w:rsidRDefault="00B75C24" w:rsidP="00B75C24">
      <w:pPr>
        <w:pStyle w:val="Body1"/>
        <w:tabs>
          <w:tab w:val="left" w:pos="567"/>
        </w:tabs>
        <w:spacing w:after="0" w:line="240" w:lineRule="auto"/>
        <w:ind w:right="-613"/>
        <w:jc w:val="both"/>
        <w:rPr>
          <w:rFonts w:cs="Arial"/>
          <w:b/>
          <w:szCs w:val="24"/>
        </w:rPr>
      </w:pPr>
    </w:p>
    <w:p w14:paraId="30903075" w14:textId="77777777" w:rsidR="00B75C24" w:rsidRPr="008925CE" w:rsidRDefault="00B75C24" w:rsidP="00B75C24">
      <w:pPr>
        <w:pStyle w:val="Body1"/>
        <w:tabs>
          <w:tab w:val="left" w:pos="567"/>
        </w:tabs>
        <w:spacing w:after="0" w:line="240" w:lineRule="auto"/>
        <w:ind w:right="-613"/>
        <w:jc w:val="both"/>
        <w:rPr>
          <w:rFonts w:cs="Arial"/>
          <w:b/>
          <w:szCs w:val="24"/>
        </w:rPr>
      </w:pPr>
    </w:p>
    <w:p w14:paraId="269FD1AC" w14:textId="77777777" w:rsidR="00B75C24" w:rsidRPr="008925CE" w:rsidRDefault="00B75C24" w:rsidP="00B75C24">
      <w:pPr>
        <w:pStyle w:val="Body1"/>
        <w:tabs>
          <w:tab w:val="left" w:pos="567"/>
        </w:tabs>
        <w:spacing w:after="0" w:line="240" w:lineRule="auto"/>
        <w:ind w:right="-613"/>
        <w:jc w:val="both"/>
        <w:rPr>
          <w:rFonts w:cs="Arial"/>
          <w:b/>
          <w:szCs w:val="24"/>
        </w:rPr>
      </w:pPr>
      <w:r w:rsidRPr="008925CE">
        <w:rPr>
          <w:rFonts w:cs="Arial"/>
          <w:b/>
          <w:szCs w:val="24"/>
        </w:rPr>
        <w:t>1 .1</w:t>
      </w:r>
      <w:r>
        <w:rPr>
          <w:rFonts w:cs="Arial"/>
          <w:b/>
          <w:szCs w:val="24"/>
        </w:rPr>
        <w:tab/>
      </w:r>
      <w:r w:rsidRPr="008925CE">
        <w:rPr>
          <w:rFonts w:cs="Arial"/>
          <w:b/>
          <w:szCs w:val="24"/>
        </w:rPr>
        <w:t>The 2017-18 Position – Capital Programme LCC (excluding LEP</w:t>
      </w:r>
      <w:r>
        <w:rPr>
          <w:rFonts w:cs="Arial"/>
          <w:b/>
          <w:szCs w:val="24"/>
        </w:rPr>
        <w:t xml:space="preserve"> </w:t>
      </w:r>
      <w:r w:rsidRPr="008925CE">
        <w:rPr>
          <w:rFonts w:cs="Arial"/>
          <w:b/>
          <w:szCs w:val="24"/>
        </w:rPr>
        <w:t>/ City Deal)</w:t>
      </w:r>
    </w:p>
    <w:p w14:paraId="5C3B6CCE" w14:textId="77777777" w:rsidR="00B75C24" w:rsidRPr="008925CE" w:rsidRDefault="00B75C24" w:rsidP="00B75C24">
      <w:pPr>
        <w:pStyle w:val="Body1"/>
        <w:tabs>
          <w:tab w:val="left" w:pos="567"/>
        </w:tabs>
        <w:spacing w:after="0" w:line="240" w:lineRule="auto"/>
        <w:ind w:right="-613"/>
        <w:jc w:val="both"/>
        <w:rPr>
          <w:rFonts w:cs="Arial"/>
          <w:b/>
          <w:szCs w:val="24"/>
        </w:rPr>
      </w:pPr>
    </w:p>
    <w:p w14:paraId="71C8DE4B" w14:textId="4323EDF3" w:rsidR="00B75C24" w:rsidRPr="008925CE" w:rsidRDefault="00B75C24" w:rsidP="00B75C24">
      <w:pPr>
        <w:tabs>
          <w:tab w:val="left" w:pos="567"/>
        </w:tabs>
        <w:spacing w:after="0"/>
        <w:ind w:right="-613"/>
        <w:rPr>
          <w:rFonts w:cs="Arial"/>
          <w:lang w:eastAsia="en-GB"/>
        </w:rPr>
      </w:pPr>
      <w:r w:rsidRPr="008925CE">
        <w:rPr>
          <w:rFonts w:cs="Arial"/>
          <w:lang w:eastAsia="en-GB"/>
        </w:rPr>
        <w:t xml:space="preserve">The 2017/18 Capital Programme for 2017/18 approved by the County Council in February 2017 </w:t>
      </w:r>
      <w:r>
        <w:rPr>
          <w:rFonts w:cs="Arial"/>
          <w:lang w:eastAsia="en-GB"/>
        </w:rPr>
        <w:t xml:space="preserve">originally </w:t>
      </w:r>
      <w:r w:rsidRPr="008925CE">
        <w:rPr>
          <w:rFonts w:cs="Arial"/>
          <w:lang w:eastAsia="en-GB"/>
        </w:rPr>
        <w:t>totalled £126.184m, includin</w:t>
      </w:r>
      <w:r>
        <w:rPr>
          <w:rFonts w:cs="Arial"/>
          <w:lang w:eastAsia="en-GB"/>
        </w:rPr>
        <w:t xml:space="preserve">g slippage from previous years </w:t>
      </w:r>
      <w:r w:rsidRPr="008925CE">
        <w:rPr>
          <w:rFonts w:cs="Arial"/>
          <w:lang w:eastAsia="en-GB"/>
        </w:rPr>
        <w:t xml:space="preserve">and relating to LCC (non-LEP) activity. </w:t>
      </w:r>
      <w:r>
        <w:rPr>
          <w:rFonts w:cs="Arial"/>
          <w:lang w:eastAsia="en-GB"/>
        </w:rPr>
        <w:t xml:space="preserve"> </w:t>
      </w:r>
      <w:r w:rsidRPr="008925CE">
        <w:rPr>
          <w:rFonts w:cs="Arial"/>
          <w:lang w:eastAsia="en-GB"/>
        </w:rPr>
        <w:t>S</w:t>
      </w:r>
      <w:r>
        <w:rPr>
          <w:rFonts w:cs="Arial"/>
          <w:lang w:eastAsia="en-GB"/>
        </w:rPr>
        <w:t xml:space="preserve">ubsequently there </w:t>
      </w:r>
      <w:r w:rsidRPr="008925CE">
        <w:rPr>
          <w:rFonts w:cs="Arial"/>
          <w:lang w:eastAsia="en-GB"/>
        </w:rPr>
        <w:t xml:space="preserve">have been </w:t>
      </w:r>
      <w:r>
        <w:rPr>
          <w:rFonts w:cs="Arial"/>
          <w:lang w:eastAsia="en-GB"/>
        </w:rPr>
        <w:t xml:space="preserve">a number of additions and </w:t>
      </w:r>
      <w:r w:rsidRPr="008925CE">
        <w:rPr>
          <w:rFonts w:cs="Arial"/>
          <w:lang w:eastAsia="en-GB"/>
        </w:rPr>
        <w:t xml:space="preserve">changes to the programme </w:t>
      </w:r>
      <w:r>
        <w:rPr>
          <w:rFonts w:cs="Arial"/>
          <w:lang w:eastAsia="en-GB"/>
        </w:rPr>
        <w:t xml:space="preserve">totalling </w:t>
      </w:r>
      <w:r w:rsidRPr="008925CE">
        <w:rPr>
          <w:rFonts w:cs="Arial"/>
          <w:lang w:eastAsia="en-GB"/>
        </w:rPr>
        <w:t>£45.427m which give an amended delivery prog</w:t>
      </w:r>
      <w:r w:rsidR="009E4412">
        <w:rPr>
          <w:rFonts w:cs="Arial"/>
          <w:lang w:eastAsia="en-GB"/>
        </w:rPr>
        <w:t xml:space="preserve">ramme for 2017/18 of £171.611m as set out in Table 1. </w:t>
      </w:r>
    </w:p>
    <w:p w14:paraId="4204D630" w14:textId="77777777" w:rsidR="00B75C24" w:rsidRPr="008925CE" w:rsidRDefault="00B75C24" w:rsidP="00B75C24">
      <w:pPr>
        <w:tabs>
          <w:tab w:val="left" w:pos="567"/>
        </w:tabs>
        <w:spacing w:after="0"/>
        <w:ind w:right="-613"/>
        <w:rPr>
          <w:rFonts w:cs="Arial"/>
          <w:lang w:eastAsia="en-GB"/>
        </w:rPr>
      </w:pPr>
    </w:p>
    <w:p w14:paraId="4E99BB7D" w14:textId="77777777" w:rsidR="00B75C24" w:rsidRDefault="00B75C24" w:rsidP="00B75C24">
      <w:pPr>
        <w:tabs>
          <w:tab w:val="left" w:pos="567"/>
        </w:tabs>
        <w:spacing w:after="0"/>
        <w:ind w:right="-613"/>
        <w:rPr>
          <w:rFonts w:cs="Arial"/>
          <w:lang w:eastAsia="en-GB"/>
        </w:rPr>
      </w:pPr>
      <w:r w:rsidRPr="008925CE">
        <w:rPr>
          <w:rFonts w:cs="Arial"/>
          <w:b/>
          <w:lang w:eastAsia="en-GB"/>
        </w:rPr>
        <w:t>Table 1</w:t>
      </w:r>
      <w:r w:rsidRPr="008925CE">
        <w:rPr>
          <w:rFonts w:cs="Arial"/>
          <w:lang w:eastAsia="en-GB"/>
        </w:rPr>
        <w:t xml:space="preserve"> -2017/18 Capital Programme breakdown by block. </w:t>
      </w:r>
    </w:p>
    <w:p w14:paraId="7ABA9242" w14:textId="77777777" w:rsidR="00B75C24" w:rsidRDefault="00B75C24" w:rsidP="00B75C24">
      <w:pPr>
        <w:tabs>
          <w:tab w:val="left" w:pos="567"/>
        </w:tabs>
        <w:spacing w:after="0"/>
        <w:ind w:right="-613"/>
        <w:rPr>
          <w:rFonts w:cs="Arial"/>
          <w:lang w:eastAsia="en-GB"/>
        </w:rPr>
      </w:pPr>
    </w:p>
    <w:tbl>
      <w:tblPr>
        <w:tblStyle w:val="TableGrid"/>
        <w:tblW w:w="9872" w:type="dxa"/>
        <w:tblInd w:w="-147" w:type="dxa"/>
        <w:tblLook w:val="04A0" w:firstRow="1" w:lastRow="0" w:firstColumn="1" w:lastColumn="0" w:noHBand="0" w:noVBand="1"/>
      </w:tblPr>
      <w:tblGrid>
        <w:gridCol w:w="2097"/>
        <w:gridCol w:w="1366"/>
        <w:gridCol w:w="1341"/>
        <w:gridCol w:w="1341"/>
        <w:gridCol w:w="1188"/>
        <w:gridCol w:w="1198"/>
        <w:gridCol w:w="1341"/>
      </w:tblGrid>
      <w:tr w:rsidR="00691F6F" w:rsidRPr="00691F6F" w14:paraId="0D996C4C" w14:textId="77777777" w:rsidTr="00A81116">
        <w:trPr>
          <w:trHeight w:val="2223"/>
        </w:trPr>
        <w:tc>
          <w:tcPr>
            <w:tcW w:w="2097" w:type="dxa"/>
            <w:tcBorders>
              <w:bottom w:val="nil"/>
            </w:tcBorders>
          </w:tcPr>
          <w:p w14:paraId="5F9DABEC" w14:textId="77777777" w:rsidR="00691F6F" w:rsidRPr="00691F6F" w:rsidRDefault="00691F6F" w:rsidP="00805F51">
            <w:pPr>
              <w:rPr>
                <w:rFonts w:cs="Arial"/>
                <w:sz w:val="22"/>
                <w:szCs w:val="22"/>
              </w:rPr>
            </w:pPr>
            <w:r w:rsidRPr="00691F6F">
              <w:rPr>
                <w:rFonts w:cs="Arial"/>
                <w:sz w:val="22"/>
                <w:szCs w:val="22"/>
              </w:rPr>
              <w:t>Service Area</w:t>
            </w:r>
          </w:p>
        </w:tc>
        <w:tc>
          <w:tcPr>
            <w:tcW w:w="1366" w:type="dxa"/>
            <w:tcBorders>
              <w:bottom w:val="nil"/>
            </w:tcBorders>
          </w:tcPr>
          <w:p w14:paraId="3BE54768" w14:textId="77777777" w:rsidR="00691F6F" w:rsidRDefault="00691F6F" w:rsidP="00805F51">
            <w:pPr>
              <w:rPr>
                <w:rFonts w:cs="Arial"/>
                <w:sz w:val="22"/>
                <w:szCs w:val="22"/>
              </w:rPr>
            </w:pPr>
            <w:r w:rsidRPr="00691F6F">
              <w:rPr>
                <w:rFonts w:cs="Arial"/>
                <w:sz w:val="22"/>
                <w:szCs w:val="22"/>
              </w:rPr>
              <w:t>2017/18 Delivery Programme agreed at Feb 2017</w:t>
            </w:r>
          </w:p>
          <w:p w14:paraId="3ED9566D" w14:textId="77777777" w:rsidR="009E4412" w:rsidRPr="00691F6F" w:rsidRDefault="009E4412" w:rsidP="00805F51">
            <w:pPr>
              <w:rPr>
                <w:rFonts w:cs="Arial"/>
                <w:sz w:val="22"/>
                <w:szCs w:val="22"/>
              </w:rPr>
            </w:pPr>
          </w:p>
        </w:tc>
        <w:tc>
          <w:tcPr>
            <w:tcW w:w="1341" w:type="dxa"/>
            <w:tcBorders>
              <w:bottom w:val="nil"/>
            </w:tcBorders>
          </w:tcPr>
          <w:p w14:paraId="32D55755" w14:textId="77777777" w:rsidR="00691F6F" w:rsidRPr="00691F6F" w:rsidRDefault="00691F6F" w:rsidP="00805F51">
            <w:pPr>
              <w:rPr>
                <w:rFonts w:cs="Arial"/>
                <w:sz w:val="22"/>
                <w:szCs w:val="22"/>
              </w:rPr>
            </w:pPr>
            <w:r w:rsidRPr="00691F6F">
              <w:rPr>
                <w:rFonts w:cs="Arial"/>
                <w:sz w:val="22"/>
                <w:szCs w:val="22"/>
              </w:rPr>
              <w:t>Changes to 2017/18 Capital programme including additions and reprofiling decisions</w:t>
            </w:r>
          </w:p>
        </w:tc>
        <w:tc>
          <w:tcPr>
            <w:tcW w:w="1341" w:type="dxa"/>
            <w:tcBorders>
              <w:bottom w:val="nil"/>
            </w:tcBorders>
          </w:tcPr>
          <w:p w14:paraId="3D843983" w14:textId="77777777" w:rsidR="00691F6F" w:rsidRPr="00691F6F" w:rsidRDefault="00691F6F" w:rsidP="00805F51">
            <w:pPr>
              <w:rPr>
                <w:rFonts w:cs="Arial"/>
                <w:sz w:val="22"/>
                <w:szCs w:val="22"/>
              </w:rPr>
            </w:pPr>
            <w:r w:rsidRPr="00691F6F">
              <w:rPr>
                <w:rFonts w:cs="Arial"/>
                <w:sz w:val="22"/>
                <w:szCs w:val="22"/>
              </w:rPr>
              <w:t>2017/18 full year programme of delivery</w:t>
            </w:r>
          </w:p>
        </w:tc>
        <w:tc>
          <w:tcPr>
            <w:tcW w:w="1188" w:type="dxa"/>
            <w:tcBorders>
              <w:bottom w:val="nil"/>
            </w:tcBorders>
          </w:tcPr>
          <w:p w14:paraId="149F2412" w14:textId="77777777" w:rsidR="00691F6F" w:rsidRPr="00691F6F" w:rsidRDefault="00691F6F" w:rsidP="00805F51">
            <w:pPr>
              <w:rPr>
                <w:rFonts w:cs="Arial"/>
                <w:sz w:val="22"/>
                <w:szCs w:val="22"/>
              </w:rPr>
            </w:pPr>
            <w:r w:rsidRPr="00691F6F">
              <w:rPr>
                <w:rFonts w:cs="Arial"/>
                <w:sz w:val="22"/>
                <w:szCs w:val="22"/>
              </w:rPr>
              <w:t>2017/18 full year forecast outturn</w:t>
            </w:r>
          </w:p>
        </w:tc>
        <w:tc>
          <w:tcPr>
            <w:tcW w:w="1198" w:type="dxa"/>
            <w:tcBorders>
              <w:bottom w:val="nil"/>
            </w:tcBorders>
          </w:tcPr>
          <w:p w14:paraId="383772F9" w14:textId="77777777" w:rsidR="00691F6F" w:rsidRPr="00691F6F" w:rsidRDefault="00691F6F" w:rsidP="00805F51">
            <w:pPr>
              <w:rPr>
                <w:rFonts w:cs="Arial"/>
                <w:sz w:val="22"/>
                <w:szCs w:val="22"/>
              </w:rPr>
            </w:pPr>
            <w:r w:rsidRPr="00691F6F">
              <w:rPr>
                <w:rFonts w:cs="Arial"/>
                <w:sz w:val="22"/>
                <w:szCs w:val="22"/>
              </w:rPr>
              <w:t>Forecast variance</w:t>
            </w:r>
          </w:p>
        </w:tc>
        <w:tc>
          <w:tcPr>
            <w:tcW w:w="1341" w:type="dxa"/>
            <w:tcBorders>
              <w:bottom w:val="nil"/>
            </w:tcBorders>
          </w:tcPr>
          <w:p w14:paraId="42428948" w14:textId="77777777" w:rsidR="00691F6F" w:rsidRPr="00691F6F" w:rsidRDefault="00691F6F" w:rsidP="00805F51">
            <w:pPr>
              <w:rPr>
                <w:rFonts w:cs="Arial"/>
                <w:sz w:val="22"/>
                <w:szCs w:val="22"/>
              </w:rPr>
            </w:pPr>
            <w:r w:rsidRPr="00691F6F">
              <w:rPr>
                <w:rFonts w:cs="Arial"/>
                <w:sz w:val="22"/>
                <w:szCs w:val="22"/>
              </w:rPr>
              <w:t>Forecast variance as a percentage of delivery programme</w:t>
            </w:r>
          </w:p>
        </w:tc>
      </w:tr>
      <w:tr w:rsidR="00691F6F" w:rsidRPr="004E0CF2" w14:paraId="7DBB73E5" w14:textId="77777777" w:rsidTr="00A81116">
        <w:trPr>
          <w:trHeight w:val="255"/>
        </w:trPr>
        <w:tc>
          <w:tcPr>
            <w:tcW w:w="2097" w:type="dxa"/>
            <w:tcBorders>
              <w:top w:val="nil"/>
            </w:tcBorders>
          </w:tcPr>
          <w:p w14:paraId="51DC4A9E" w14:textId="77777777" w:rsidR="00691F6F" w:rsidRPr="004E0CF2" w:rsidRDefault="00691F6F" w:rsidP="00805F51">
            <w:pPr>
              <w:rPr>
                <w:rFonts w:cs="Arial"/>
                <w:sz w:val="22"/>
                <w:szCs w:val="22"/>
              </w:rPr>
            </w:pPr>
          </w:p>
        </w:tc>
        <w:tc>
          <w:tcPr>
            <w:tcW w:w="1366" w:type="dxa"/>
            <w:tcBorders>
              <w:top w:val="nil"/>
            </w:tcBorders>
          </w:tcPr>
          <w:p w14:paraId="0B277348" w14:textId="65F12AE2" w:rsidR="00691F6F" w:rsidRPr="004E0CF2" w:rsidRDefault="009E4412" w:rsidP="00805F51">
            <w:pPr>
              <w:ind w:right="104"/>
              <w:jc w:val="right"/>
              <w:rPr>
                <w:rFonts w:cs="Arial"/>
                <w:sz w:val="22"/>
                <w:szCs w:val="22"/>
              </w:rPr>
            </w:pPr>
            <w:r>
              <w:rPr>
                <w:rFonts w:cs="Arial"/>
                <w:sz w:val="22"/>
                <w:szCs w:val="22"/>
              </w:rPr>
              <w:t>(£m)</w:t>
            </w:r>
          </w:p>
        </w:tc>
        <w:tc>
          <w:tcPr>
            <w:tcW w:w="1341" w:type="dxa"/>
            <w:tcBorders>
              <w:top w:val="nil"/>
            </w:tcBorders>
          </w:tcPr>
          <w:p w14:paraId="037E4982" w14:textId="62160AF7" w:rsidR="00691F6F" w:rsidRPr="004E0CF2" w:rsidRDefault="009E4412" w:rsidP="00805F51">
            <w:pPr>
              <w:ind w:right="104"/>
              <w:jc w:val="right"/>
              <w:rPr>
                <w:rFonts w:cs="Arial"/>
                <w:sz w:val="22"/>
                <w:szCs w:val="22"/>
              </w:rPr>
            </w:pPr>
            <w:r>
              <w:rPr>
                <w:rFonts w:cs="Arial"/>
                <w:sz w:val="22"/>
                <w:szCs w:val="22"/>
              </w:rPr>
              <w:t>(£m)</w:t>
            </w:r>
          </w:p>
        </w:tc>
        <w:tc>
          <w:tcPr>
            <w:tcW w:w="1341" w:type="dxa"/>
            <w:tcBorders>
              <w:top w:val="nil"/>
            </w:tcBorders>
          </w:tcPr>
          <w:p w14:paraId="1ED6A41F" w14:textId="5A6119AC" w:rsidR="00691F6F" w:rsidRPr="004E0CF2" w:rsidRDefault="009E4412" w:rsidP="00805F51">
            <w:pPr>
              <w:ind w:right="104"/>
              <w:jc w:val="right"/>
              <w:rPr>
                <w:rFonts w:cs="Arial"/>
                <w:sz w:val="22"/>
                <w:szCs w:val="22"/>
              </w:rPr>
            </w:pPr>
            <w:r>
              <w:rPr>
                <w:rFonts w:cs="Arial"/>
                <w:sz w:val="22"/>
                <w:szCs w:val="22"/>
              </w:rPr>
              <w:t>(</w:t>
            </w:r>
            <w:r w:rsidR="00691F6F" w:rsidRPr="004E0CF2">
              <w:rPr>
                <w:rFonts w:cs="Arial"/>
                <w:sz w:val="22"/>
                <w:szCs w:val="22"/>
              </w:rPr>
              <w:t>£m</w:t>
            </w:r>
            <w:r>
              <w:rPr>
                <w:rFonts w:cs="Arial"/>
                <w:sz w:val="22"/>
                <w:szCs w:val="22"/>
              </w:rPr>
              <w:t>)</w:t>
            </w:r>
          </w:p>
        </w:tc>
        <w:tc>
          <w:tcPr>
            <w:tcW w:w="1188" w:type="dxa"/>
            <w:tcBorders>
              <w:top w:val="nil"/>
            </w:tcBorders>
          </w:tcPr>
          <w:p w14:paraId="2B62ECF7" w14:textId="044D57E4" w:rsidR="00691F6F" w:rsidRPr="004E0CF2" w:rsidRDefault="009E4412" w:rsidP="00805F51">
            <w:pPr>
              <w:ind w:right="104"/>
              <w:jc w:val="right"/>
              <w:rPr>
                <w:rFonts w:cs="Arial"/>
                <w:sz w:val="22"/>
                <w:szCs w:val="22"/>
              </w:rPr>
            </w:pPr>
            <w:r>
              <w:rPr>
                <w:rFonts w:cs="Arial"/>
                <w:sz w:val="22"/>
                <w:szCs w:val="22"/>
              </w:rPr>
              <w:t>(</w:t>
            </w:r>
            <w:r w:rsidR="00691F6F" w:rsidRPr="004E0CF2">
              <w:rPr>
                <w:rFonts w:cs="Arial"/>
                <w:sz w:val="22"/>
                <w:szCs w:val="22"/>
              </w:rPr>
              <w:t>£m</w:t>
            </w:r>
            <w:r>
              <w:rPr>
                <w:rFonts w:cs="Arial"/>
                <w:sz w:val="22"/>
                <w:szCs w:val="22"/>
              </w:rPr>
              <w:t>)</w:t>
            </w:r>
          </w:p>
        </w:tc>
        <w:tc>
          <w:tcPr>
            <w:tcW w:w="1198" w:type="dxa"/>
            <w:tcBorders>
              <w:top w:val="nil"/>
            </w:tcBorders>
          </w:tcPr>
          <w:p w14:paraId="0D297FF3" w14:textId="54E4A18A" w:rsidR="00691F6F" w:rsidRPr="004E0CF2" w:rsidRDefault="009E4412" w:rsidP="00805F51">
            <w:pPr>
              <w:ind w:right="104"/>
              <w:jc w:val="right"/>
              <w:rPr>
                <w:rFonts w:cs="Arial"/>
                <w:sz w:val="22"/>
                <w:szCs w:val="22"/>
              </w:rPr>
            </w:pPr>
            <w:r>
              <w:rPr>
                <w:rFonts w:cs="Arial"/>
                <w:sz w:val="22"/>
                <w:szCs w:val="22"/>
              </w:rPr>
              <w:t>(</w:t>
            </w:r>
            <w:r w:rsidR="00691F6F" w:rsidRPr="004E0CF2">
              <w:rPr>
                <w:rFonts w:cs="Arial"/>
                <w:sz w:val="22"/>
                <w:szCs w:val="22"/>
              </w:rPr>
              <w:t>£m</w:t>
            </w:r>
            <w:r>
              <w:rPr>
                <w:rFonts w:cs="Arial"/>
                <w:sz w:val="22"/>
                <w:szCs w:val="22"/>
              </w:rPr>
              <w:t>)</w:t>
            </w:r>
          </w:p>
        </w:tc>
        <w:tc>
          <w:tcPr>
            <w:tcW w:w="1341" w:type="dxa"/>
            <w:tcBorders>
              <w:top w:val="nil"/>
            </w:tcBorders>
          </w:tcPr>
          <w:p w14:paraId="0C1E33F2" w14:textId="77777777" w:rsidR="00691F6F" w:rsidRPr="004E0CF2" w:rsidRDefault="00691F6F" w:rsidP="00805F51">
            <w:pPr>
              <w:ind w:right="104"/>
              <w:jc w:val="right"/>
              <w:rPr>
                <w:rFonts w:cs="Arial"/>
                <w:sz w:val="22"/>
                <w:szCs w:val="22"/>
              </w:rPr>
            </w:pPr>
          </w:p>
        </w:tc>
      </w:tr>
      <w:tr w:rsidR="00691F6F" w:rsidRPr="004E0CF2" w14:paraId="70FB24AA" w14:textId="77777777" w:rsidTr="00691F6F">
        <w:tc>
          <w:tcPr>
            <w:tcW w:w="2097" w:type="dxa"/>
          </w:tcPr>
          <w:p w14:paraId="1B5A261C" w14:textId="77777777" w:rsidR="00691F6F" w:rsidRPr="004E0CF2" w:rsidRDefault="00691F6F" w:rsidP="00691F6F">
            <w:pPr>
              <w:jc w:val="left"/>
              <w:rPr>
                <w:rFonts w:cs="Arial"/>
                <w:sz w:val="22"/>
                <w:szCs w:val="22"/>
              </w:rPr>
            </w:pPr>
            <w:r w:rsidRPr="004E0CF2">
              <w:rPr>
                <w:rFonts w:cs="Arial"/>
                <w:sz w:val="22"/>
                <w:szCs w:val="22"/>
              </w:rPr>
              <w:t>Schools (ex DFC)</w:t>
            </w:r>
          </w:p>
        </w:tc>
        <w:tc>
          <w:tcPr>
            <w:tcW w:w="1366" w:type="dxa"/>
          </w:tcPr>
          <w:p w14:paraId="6C74B4D8" w14:textId="77777777" w:rsidR="00691F6F" w:rsidRPr="004E0CF2" w:rsidRDefault="00691F6F" w:rsidP="00805F51">
            <w:pPr>
              <w:ind w:right="104"/>
              <w:jc w:val="right"/>
              <w:rPr>
                <w:rFonts w:cs="Arial"/>
                <w:sz w:val="22"/>
                <w:szCs w:val="22"/>
              </w:rPr>
            </w:pPr>
            <w:r>
              <w:rPr>
                <w:rFonts w:cs="Arial"/>
              </w:rPr>
              <w:t>29.687</w:t>
            </w:r>
          </w:p>
        </w:tc>
        <w:tc>
          <w:tcPr>
            <w:tcW w:w="1341" w:type="dxa"/>
          </w:tcPr>
          <w:p w14:paraId="544AB6E8" w14:textId="77777777" w:rsidR="00691F6F" w:rsidRPr="004E0CF2" w:rsidRDefault="00691F6F" w:rsidP="00805F51">
            <w:pPr>
              <w:ind w:right="104"/>
              <w:jc w:val="right"/>
              <w:rPr>
                <w:rFonts w:cs="Arial"/>
                <w:sz w:val="22"/>
                <w:szCs w:val="22"/>
              </w:rPr>
            </w:pPr>
            <w:r>
              <w:rPr>
                <w:rFonts w:cs="Arial"/>
              </w:rPr>
              <w:t>-1.552</w:t>
            </w:r>
          </w:p>
        </w:tc>
        <w:tc>
          <w:tcPr>
            <w:tcW w:w="1341" w:type="dxa"/>
          </w:tcPr>
          <w:p w14:paraId="5157C69C" w14:textId="77777777" w:rsidR="00691F6F" w:rsidRPr="004E0CF2" w:rsidRDefault="00691F6F" w:rsidP="00805F51">
            <w:pPr>
              <w:ind w:right="104"/>
              <w:jc w:val="right"/>
              <w:rPr>
                <w:rFonts w:cs="Arial"/>
                <w:sz w:val="22"/>
                <w:szCs w:val="22"/>
              </w:rPr>
            </w:pPr>
            <w:r>
              <w:rPr>
                <w:rFonts w:cs="Arial"/>
              </w:rPr>
              <w:t>28.135</w:t>
            </w:r>
          </w:p>
        </w:tc>
        <w:tc>
          <w:tcPr>
            <w:tcW w:w="1188" w:type="dxa"/>
          </w:tcPr>
          <w:p w14:paraId="2F6B30D4" w14:textId="77777777" w:rsidR="00691F6F" w:rsidRPr="004E0CF2" w:rsidRDefault="00691F6F" w:rsidP="00805F51">
            <w:pPr>
              <w:ind w:right="104"/>
              <w:jc w:val="right"/>
              <w:rPr>
                <w:rFonts w:cs="Arial"/>
                <w:sz w:val="22"/>
                <w:szCs w:val="22"/>
              </w:rPr>
            </w:pPr>
            <w:r>
              <w:rPr>
                <w:rFonts w:cs="Arial"/>
              </w:rPr>
              <w:t>25.388</w:t>
            </w:r>
          </w:p>
        </w:tc>
        <w:tc>
          <w:tcPr>
            <w:tcW w:w="1198" w:type="dxa"/>
          </w:tcPr>
          <w:p w14:paraId="3E3D0CE8" w14:textId="77777777" w:rsidR="00691F6F" w:rsidRPr="004E0CF2" w:rsidRDefault="00691F6F" w:rsidP="00805F51">
            <w:pPr>
              <w:ind w:right="104"/>
              <w:jc w:val="right"/>
              <w:rPr>
                <w:rFonts w:cs="Arial"/>
                <w:sz w:val="22"/>
                <w:szCs w:val="22"/>
              </w:rPr>
            </w:pPr>
            <w:r>
              <w:rPr>
                <w:rFonts w:cs="Arial"/>
              </w:rPr>
              <w:t>-2.747</w:t>
            </w:r>
          </w:p>
        </w:tc>
        <w:tc>
          <w:tcPr>
            <w:tcW w:w="1341" w:type="dxa"/>
          </w:tcPr>
          <w:p w14:paraId="4724FC98" w14:textId="77777777" w:rsidR="00691F6F" w:rsidRPr="004E0CF2" w:rsidRDefault="00691F6F" w:rsidP="00805F51">
            <w:pPr>
              <w:ind w:right="104"/>
              <w:jc w:val="right"/>
              <w:rPr>
                <w:rFonts w:cs="Arial"/>
                <w:sz w:val="22"/>
                <w:szCs w:val="22"/>
              </w:rPr>
            </w:pPr>
            <w:r>
              <w:rPr>
                <w:rFonts w:cs="Arial"/>
              </w:rPr>
              <w:t>-9.76%</w:t>
            </w:r>
          </w:p>
        </w:tc>
      </w:tr>
      <w:tr w:rsidR="00691F6F" w:rsidRPr="004E0CF2" w14:paraId="696F669B" w14:textId="77777777" w:rsidTr="00691F6F">
        <w:tc>
          <w:tcPr>
            <w:tcW w:w="2097" w:type="dxa"/>
          </w:tcPr>
          <w:p w14:paraId="6DBA789A" w14:textId="77777777" w:rsidR="00691F6F" w:rsidRPr="004E0CF2" w:rsidRDefault="00691F6F" w:rsidP="00691F6F">
            <w:pPr>
              <w:jc w:val="left"/>
              <w:rPr>
                <w:rFonts w:cs="Arial"/>
                <w:sz w:val="22"/>
                <w:szCs w:val="22"/>
              </w:rPr>
            </w:pPr>
            <w:r w:rsidRPr="004E0CF2">
              <w:rPr>
                <w:rFonts w:cs="Arial"/>
                <w:sz w:val="22"/>
                <w:szCs w:val="22"/>
              </w:rPr>
              <w:t>Schools DFC</w:t>
            </w:r>
          </w:p>
        </w:tc>
        <w:tc>
          <w:tcPr>
            <w:tcW w:w="1366" w:type="dxa"/>
          </w:tcPr>
          <w:p w14:paraId="25B1AD0C" w14:textId="77777777" w:rsidR="00691F6F" w:rsidRPr="004E0CF2" w:rsidRDefault="00691F6F" w:rsidP="00805F51">
            <w:pPr>
              <w:ind w:right="104"/>
              <w:jc w:val="right"/>
              <w:rPr>
                <w:rFonts w:cs="Arial"/>
                <w:sz w:val="22"/>
                <w:szCs w:val="22"/>
              </w:rPr>
            </w:pPr>
            <w:r>
              <w:rPr>
                <w:rFonts w:cs="Arial"/>
              </w:rPr>
              <w:t>2.633</w:t>
            </w:r>
          </w:p>
        </w:tc>
        <w:tc>
          <w:tcPr>
            <w:tcW w:w="1341" w:type="dxa"/>
          </w:tcPr>
          <w:p w14:paraId="2C487E00" w14:textId="77777777" w:rsidR="00691F6F" w:rsidRPr="004E0CF2" w:rsidRDefault="00691F6F" w:rsidP="00805F51">
            <w:pPr>
              <w:ind w:right="104"/>
              <w:jc w:val="right"/>
              <w:rPr>
                <w:rFonts w:cs="Arial"/>
                <w:sz w:val="22"/>
                <w:szCs w:val="22"/>
              </w:rPr>
            </w:pPr>
            <w:r>
              <w:rPr>
                <w:rFonts w:cs="Arial"/>
              </w:rPr>
              <w:t>2.260</w:t>
            </w:r>
          </w:p>
        </w:tc>
        <w:tc>
          <w:tcPr>
            <w:tcW w:w="1341" w:type="dxa"/>
          </w:tcPr>
          <w:p w14:paraId="74169B44" w14:textId="77777777" w:rsidR="00691F6F" w:rsidRPr="004E0CF2" w:rsidRDefault="00691F6F" w:rsidP="00805F51">
            <w:pPr>
              <w:ind w:right="104"/>
              <w:jc w:val="right"/>
              <w:rPr>
                <w:rFonts w:cs="Arial"/>
                <w:sz w:val="22"/>
                <w:szCs w:val="22"/>
              </w:rPr>
            </w:pPr>
            <w:r>
              <w:rPr>
                <w:rFonts w:cs="Arial"/>
              </w:rPr>
              <w:t>4.893</w:t>
            </w:r>
          </w:p>
        </w:tc>
        <w:tc>
          <w:tcPr>
            <w:tcW w:w="1188" w:type="dxa"/>
          </w:tcPr>
          <w:p w14:paraId="224F74AB" w14:textId="77777777" w:rsidR="00691F6F" w:rsidRPr="004E0CF2" w:rsidRDefault="00691F6F" w:rsidP="00805F51">
            <w:pPr>
              <w:ind w:right="104"/>
              <w:jc w:val="right"/>
              <w:rPr>
                <w:rFonts w:cs="Arial"/>
                <w:sz w:val="22"/>
                <w:szCs w:val="22"/>
              </w:rPr>
            </w:pPr>
            <w:r>
              <w:rPr>
                <w:rFonts w:cs="Arial"/>
              </w:rPr>
              <w:t>7.523</w:t>
            </w:r>
          </w:p>
        </w:tc>
        <w:tc>
          <w:tcPr>
            <w:tcW w:w="1198" w:type="dxa"/>
          </w:tcPr>
          <w:p w14:paraId="5D3B8C6D" w14:textId="77777777" w:rsidR="00691F6F" w:rsidRPr="004E0CF2" w:rsidRDefault="00691F6F" w:rsidP="00805F51">
            <w:pPr>
              <w:ind w:right="104"/>
              <w:jc w:val="right"/>
              <w:rPr>
                <w:rFonts w:cs="Arial"/>
                <w:sz w:val="22"/>
                <w:szCs w:val="22"/>
              </w:rPr>
            </w:pPr>
            <w:r>
              <w:rPr>
                <w:rFonts w:cs="Arial"/>
              </w:rPr>
              <w:t>2.630</w:t>
            </w:r>
          </w:p>
        </w:tc>
        <w:tc>
          <w:tcPr>
            <w:tcW w:w="1341" w:type="dxa"/>
          </w:tcPr>
          <w:p w14:paraId="5087164D" w14:textId="77777777" w:rsidR="00691F6F" w:rsidRPr="004E0CF2" w:rsidRDefault="00691F6F" w:rsidP="00805F51">
            <w:pPr>
              <w:ind w:right="104"/>
              <w:jc w:val="right"/>
              <w:rPr>
                <w:rFonts w:cs="Arial"/>
                <w:sz w:val="22"/>
                <w:szCs w:val="22"/>
              </w:rPr>
            </w:pPr>
            <w:r>
              <w:rPr>
                <w:rFonts w:cs="Arial"/>
              </w:rPr>
              <w:t>53.75%</w:t>
            </w:r>
          </w:p>
        </w:tc>
      </w:tr>
      <w:tr w:rsidR="00691F6F" w:rsidRPr="004E0CF2" w14:paraId="4F2F5593" w14:textId="77777777" w:rsidTr="00691F6F">
        <w:tc>
          <w:tcPr>
            <w:tcW w:w="2097" w:type="dxa"/>
          </w:tcPr>
          <w:p w14:paraId="71C031F4" w14:textId="77777777" w:rsidR="00691F6F" w:rsidRPr="004E0CF2" w:rsidRDefault="00691F6F" w:rsidP="00691F6F">
            <w:pPr>
              <w:jc w:val="left"/>
              <w:rPr>
                <w:rFonts w:cs="Arial"/>
                <w:sz w:val="22"/>
                <w:szCs w:val="22"/>
              </w:rPr>
            </w:pPr>
            <w:r w:rsidRPr="004E0CF2">
              <w:rPr>
                <w:rFonts w:cs="Arial"/>
                <w:sz w:val="22"/>
                <w:szCs w:val="22"/>
              </w:rPr>
              <w:t>Children and Young People</w:t>
            </w:r>
          </w:p>
        </w:tc>
        <w:tc>
          <w:tcPr>
            <w:tcW w:w="1366" w:type="dxa"/>
          </w:tcPr>
          <w:p w14:paraId="75496230" w14:textId="77777777" w:rsidR="00691F6F" w:rsidRPr="004E0CF2" w:rsidRDefault="00691F6F" w:rsidP="00805F51">
            <w:pPr>
              <w:ind w:right="104"/>
              <w:jc w:val="right"/>
              <w:rPr>
                <w:rFonts w:cs="Arial"/>
                <w:sz w:val="22"/>
                <w:szCs w:val="22"/>
              </w:rPr>
            </w:pPr>
            <w:r>
              <w:rPr>
                <w:rFonts w:cs="Arial"/>
              </w:rPr>
              <w:t>3.014</w:t>
            </w:r>
          </w:p>
        </w:tc>
        <w:tc>
          <w:tcPr>
            <w:tcW w:w="1341" w:type="dxa"/>
          </w:tcPr>
          <w:p w14:paraId="1B48B1B8" w14:textId="77777777" w:rsidR="00691F6F" w:rsidRPr="004E0CF2" w:rsidRDefault="00691F6F" w:rsidP="00805F51">
            <w:pPr>
              <w:ind w:right="104"/>
              <w:jc w:val="right"/>
              <w:rPr>
                <w:rFonts w:cs="Arial"/>
                <w:sz w:val="22"/>
                <w:szCs w:val="22"/>
              </w:rPr>
            </w:pPr>
            <w:r>
              <w:rPr>
                <w:rFonts w:cs="Arial"/>
              </w:rPr>
              <w:t>2.828</w:t>
            </w:r>
          </w:p>
        </w:tc>
        <w:tc>
          <w:tcPr>
            <w:tcW w:w="1341" w:type="dxa"/>
          </w:tcPr>
          <w:p w14:paraId="4ED69112" w14:textId="77777777" w:rsidR="00691F6F" w:rsidRPr="004E0CF2" w:rsidRDefault="00691F6F" w:rsidP="00805F51">
            <w:pPr>
              <w:ind w:right="104"/>
              <w:jc w:val="right"/>
              <w:rPr>
                <w:rFonts w:cs="Arial"/>
                <w:sz w:val="22"/>
                <w:szCs w:val="22"/>
              </w:rPr>
            </w:pPr>
            <w:r>
              <w:rPr>
                <w:rFonts w:cs="Arial"/>
              </w:rPr>
              <w:t>5.842</w:t>
            </w:r>
          </w:p>
        </w:tc>
        <w:tc>
          <w:tcPr>
            <w:tcW w:w="1188" w:type="dxa"/>
          </w:tcPr>
          <w:p w14:paraId="18884658" w14:textId="77777777" w:rsidR="00691F6F" w:rsidRPr="004E0CF2" w:rsidRDefault="00691F6F" w:rsidP="00805F51">
            <w:pPr>
              <w:ind w:right="104"/>
              <w:jc w:val="right"/>
              <w:rPr>
                <w:rFonts w:cs="Arial"/>
                <w:sz w:val="22"/>
                <w:szCs w:val="22"/>
              </w:rPr>
            </w:pPr>
            <w:r>
              <w:rPr>
                <w:rFonts w:cs="Arial"/>
              </w:rPr>
              <w:t>7.961</w:t>
            </w:r>
          </w:p>
        </w:tc>
        <w:tc>
          <w:tcPr>
            <w:tcW w:w="1198" w:type="dxa"/>
          </w:tcPr>
          <w:p w14:paraId="3EFF598A" w14:textId="77777777" w:rsidR="00691F6F" w:rsidRPr="004E0CF2" w:rsidRDefault="00691F6F" w:rsidP="00805F51">
            <w:pPr>
              <w:ind w:right="104"/>
              <w:jc w:val="right"/>
              <w:rPr>
                <w:rFonts w:cs="Arial"/>
                <w:sz w:val="22"/>
                <w:szCs w:val="22"/>
              </w:rPr>
            </w:pPr>
            <w:r>
              <w:rPr>
                <w:rFonts w:cs="Arial"/>
              </w:rPr>
              <w:t>2.119</w:t>
            </w:r>
          </w:p>
        </w:tc>
        <w:tc>
          <w:tcPr>
            <w:tcW w:w="1341" w:type="dxa"/>
          </w:tcPr>
          <w:p w14:paraId="651AC61E" w14:textId="77777777" w:rsidR="00691F6F" w:rsidRPr="004E0CF2" w:rsidRDefault="00691F6F" w:rsidP="00805F51">
            <w:pPr>
              <w:ind w:right="104"/>
              <w:jc w:val="right"/>
              <w:rPr>
                <w:rFonts w:cs="Arial"/>
                <w:sz w:val="22"/>
                <w:szCs w:val="22"/>
              </w:rPr>
            </w:pPr>
            <w:r>
              <w:rPr>
                <w:rFonts w:cs="Arial"/>
              </w:rPr>
              <w:t>36.26%</w:t>
            </w:r>
          </w:p>
        </w:tc>
      </w:tr>
      <w:tr w:rsidR="00691F6F" w:rsidRPr="004E0CF2" w14:paraId="71075520" w14:textId="77777777" w:rsidTr="00691F6F">
        <w:tc>
          <w:tcPr>
            <w:tcW w:w="2097" w:type="dxa"/>
          </w:tcPr>
          <w:p w14:paraId="65F2B8B9" w14:textId="77777777" w:rsidR="00691F6F" w:rsidRPr="004E0CF2" w:rsidRDefault="00691F6F" w:rsidP="00691F6F">
            <w:pPr>
              <w:jc w:val="left"/>
              <w:rPr>
                <w:rFonts w:cs="Arial"/>
                <w:sz w:val="22"/>
                <w:szCs w:val="22"/>
              </w:rPr>
            </w:pPr>
            <w:r w:rsidRPr="004E0CF2">
              <w:rPr>
                <w:rFonts w:cs="Arial"/>
                <w:sz w:val="22"/>
                <w:szCs w:val="22"/>
              </w:rPr>
              <w:t>Highways</w:t>
            </w:r>
          </w:p>
        </w:tc>
        <w:tc>
          <w:tcPr>
            <w:tcW w:w="1366" w:type="dxa"/>
          </w:tcPr>
          <w:p w14:paraId="2BA5869F" w14:textId="77777777" w:rsidR="00691F6F" w:rsidRPr="004E0CF2" w:rsidRDefault="00691F6F" w:rsidP="00805F51">
            <w:pPr>
              <w:ind w:right="104"/>
              <w:jc w:val="right"/>
              <w:rPr>
                <w:rFonts w:cs="Arial"/>
                <w:sz w:val="22"/>
                <w:szCs w:val="22"/>
              </w:rPr>
            </w:pPr>
            <w:r>
              <w:rPr>
                <w:rFonts w:cs="Arial"/>
              </w:rPr>
              <w:t>45.977</w:t>
            </w:r>
          </w:p>
        </w:tc>
        <w:tc>
          <w:tcPr>
            <w:tcW w:w="1341" w:type="dxa"/>
          </w:tcPr>
          <w:p w14:paraId="082A4D71" w14:textId="77777777" w:rsidR="00691F6F" w:rsidRPr="004E0CF2" w:rsidRDefault="00691F6F" w:rsidP="00805F51">
            <w:pPr>
              <w:ind w:right="104"/>
              <w:jc w:val="right"/>
              <w:rPr>
                <w:rFonts w:cs="Arial"/>
                <w:sz w:val="22"/>
                <w:szCs w:val="22"/>
              </w:rPr>
            </w:pPr>
            <w:r>
              <w:rPr>
                <w:rFonts w:cs="Arial"/>
              </w:rPr>
              <w:t>4.577</w:t>
            </w:r>
          </w:p>
        </w:tc>
        <w:tc>
          <w:tcPr>
            <w:tcW w:w="1341" w:type="dxa"/>
          </w:tcPr>
          <w:p w14:paraId="59E9AD0F" w14:textId="77777777" w:rsidR="00691F6F" w:rsidRPr="004E0CF2" w:rsidRDefault="00691F6F" w:rsidP="00805F51">
            <w:pPr>
              <w:ind w:right="104"/>
              <w:jc w:val="right"/>
              <w:rPr>
                <w:rFonts w:cs="Arial"/>
                <w:sz w:val="22"/>
                <w:szCs w:val="22"/>
              </w:rPr>
            </w:pPr>
            <w:r>
              <w:rPr>
                <w:rFonts w:cs="Arial"/>
              </w:rPr>
              <w:t>50.554</w:t>
            </w:r>
          </w:p>
        </w:tc>
        <w:tc>
          <w:tcPr>
            <w:tcW w:w="1188" w:type="dxa"/>
          </w:tcPr>
          <w:p w14:paraId="74A0FD73" w14:textId="77777777" w:rsidR="00691F6F" w:rsidRPr="004E0CF2" w:rsidRDefault="00691F6F" w:rsidP="00805F51">
            <w:pPr>
              <w:ind w:right="104"/>
              <w:jc w:val="right"/>
              <w:rPr>
                <w:rFonts w:cs="Arial"/>
                <w:sz w:val="22"/>
                <w:szCs w:val="22"/>
              </w:rPr>
            </w:pPr>
            <w:r>
              <w:rPr>
                <w:rFonts w:cs="Arial"/>
              </w:rPr>
              <w:t>44.064</w:t>
            </w:r>
          </w:p>
        </w:tc>
        <w:tc>
          <w:tcPr>
            <w:tcW w:w="1198" w:type="dxa"/>
          </w:tcPr>
          <w:p w14:paraId="5F281F49" w14:textId="77777777" w:rsidR="00691F6F" w:rsidRPr="004E0CF2" w:rsidRDefault="00691F6F" w:rsidP="00805F51">
            <w:pPr>
              <w:ind w:right="104"/>
              <w:jc w:val="right"/>
              <w:rPr>
                <w:rFonts w:cs="Arial"/>
                <w:sz w:val="22"/>
                <w:szCs w:val="22"/>
              </w:rPr>
            </w:pPr>
            <w:r>
              <w:rPr>
                <w:rFonts w:cs="Arial"/>
              </w:rPr>
              <w:t>-6.490</w:t>
            </w:r>
          </w:p>
        </w:tc>
        <w:tc>
          <w:tcPr>
            <w:tcW w:w="1341" w:type="dxa"/>
          </w:tcPr>
          <w:p w14:paraId="21450CC3" w14:textId="77777777" w:rsidR="00691F6F" w:rsidRPr="004E0CF2" w:rsidRDefault="00691F6F" w:rsidP="00805F51">
            <w:pPr>
              <w:ind w:right="104"/>
              <w:jc w:val="right"/>
              <w:rPr>
                <w:rFonts w:cs="Arial"/>
                <w:sz w:val="22"/>
                <w:szCs w:val="22"/>
              </w:rPr>
            </w:pPr>
            <w:r>
              <w:rPr>
                <w:rFonts w:cs="Arial"/>
              </w:rPr>
              <w:t>-12.84%</w:t>
            </w:r>
          </w:p>
        </w:tc>
      </w:tr>
      <w:tr w:rsidR="00691F6F" w:rsidRPr="004E0CF2" w14:paraId="397E8AAD" w14:textId="77777777" w:rsidTr="00691F6F">
        <w:tc>
          <w:tcPr>
            <w:tcW w:w="2097" w:type="dxa"/>
          </w:tcPr>
          <w:p w14:paraId="4159A6FC" w14:textId="77777777" w:rsidR="00691F6F" w:rsidRPr="004E0CF2" w:rsidRDefault="00691F6F" w:rsidP="00691F6F">
            <w:pPr>
              <w:jc w:val="left"/>
              <w:rPr>
                <w:rFonts w:cs="Arial"/>
                <w:sz w:val="22"/>
                <w:szCs w:val="22"/>
              </w:rPr>
            </w:pPr>
            <w:r w:rsidRPr="004E0CF2">
              <w:rPr>
                <w:rFonts w:cs="Arial"/>
                <w:sz w:val="22"/>
                <w:szCs w:val="22"/>
              </w:rPr>
              <w:t>Transport</w:t>
            </w:r>
          </w:p>
        </w:tc>
        <w:tc>
          <w:tcPr>
            <w:tcW w:w="1366" w:type="dxa"/>
          </w:tcPr>
          <w:p w14:paraId="2767DCDA" w14:textId="77777777" w:rsidR="00691F6F" w:rsidRPr="004E0CF2" w:rsidRDefault="00691F6F" w:rsidP="00805F51">
            <w:pPr>
              <w:ind w:right="104"/>
              <w:jc w:val="right"/>
              <w:rPr>
                <w:rFonts w:cs="Arial"/>
                <w:sz w:val="22"/>
                <w:szCs w:val="22"/>
              </w:rPr>
            </w:pPr>
            <w:r>
              <w:rPr>
                <w:rFonts w:cs="Arial"/>
              </w:rPr>
              <w:t>26.582</w:t>
            </w:r>
          </w:p>
        </w:tc>
        <w:tc>
          <w:tcPr>
            <w:tcW w:w="1341" w:type="dxa"/>
          </w:tcPr>
          <w:p w14:paraId="56905FBA" w14:textId="77777777" w:rsidR="00691F6F" w:rsidRPr="004E0CF2" w:rsidRDefault="00691F6F" w:rsidP="00805F51">
            <w:pPr>
              <w:ind w:right="104"/>
              <w:jc w:val="right"/>
              <w:rPr>
                <w:rFonts w:cs="Arial"/>
                <w:sz w:val="22"/>
                <w:szCs w:val="22"/>
              </w:rPr>
            </w:pPr>
            <w:r>
              <w:rPr>
                <w:rFonts w:cs="Arial"/>
              </w:rPr>
              <w:t>11.565</w:t>
            </w:r>
          </w:p>
        </w:tc>
        <w:tc>
          <w:tcPr>
            <w:tcW w:w="1341" w:type="dxa"/>
          </w:tcPr>
          <w:p w14:paraId="7BB535D0" w14:textId="77777777" w:rsidR="00691F6F" w:rsidRPr="004E0CF2" w:rsidRDefault="00691F6F" w:rsidP="00805F51">
            <w:pPr>
              <w:ind w:right="104"/>
              <w:jc w:val="right"/>
              <w:rPr>
                <w:rFonts w:cs="Arial"/>
                <w:sz w:val="22"/>
                <w:szCs w:val="22"/>
              </w:rPr>
            </w:pPr>
            <w:r>
              <w:rPr>
                <w:rFonts w:cs="Arial"/>
              </w:rPr>
              <w:t>38.147</w:t>
            </w:r>
          </w:p>
        </w:tc>
        <w:tc>
          <w:tcPr>
            <w:tcW w:w="1188" w:type="dxa"/>
          </w:tcPr>
          <w:p w14:paraId="71DE6532" w14:textId="77777777" w:rsidR="00691F6F" w:rsidRPr="004E0CF2" w:rsidRDefault="00691F6F" w:rsidP="00805F51">
            <w:pPr>
              <w:ind w:right="104"/>
              <w:jc w:val="right"/>
              <w:rPr>
                <w:rFonts w:cs="Arial"/>
                <w:sz w:val="22"/>
                <w:szCs w:val="22"/>
              </w:rPr>
            </w:pPr>
            <w:r>
              <w:rPr>
                <w:rFonts w:cs="Arial"/>
              </w:rPr>
              <w:t>36.415</w:t>
            </w:r>
          </w:p>
        </w:tc>
        <w:tc>
          <w:tcPr>
            <w:tcW w:w="1198" w:type="dxa"/>
          </w:tcPr>
          <w:p w14:paraId="7BDD1A15" w14:textId="77777777" w:rsidR="00691F6F" w:rsidRPr="004E0CF2" w:rsidRDefault="00691F6F" w:rsidP="00805F51">
            <w:pPr>
              <w:ind w:right="104"/>
              <w:jc w:val="right"/>
              <w:rPr>
                <w:rFonts w:cs="Arial"/>
                <w:sz w:val="22"/>
                <w:szCs w:val="22"/>
              </w:rPr>
            </w:pPr>
            <w:r>
              <w:rPr>
                <w:rFonts w:cs="Arial"/>
              </w:rPr>
              <w:t>-1.732</w:t>
            </w:r>
          </w:p>
        </w:tc>
        <w:tc>
          <w:tcPr>
            <w:tcW w:w="1341" w:type="dxa"/>
          </w:tcPr>
          <w:p w14:paraId="6C3E9F9F" w14:textId="77777777" w:rsidR="00691F6F" w:rsidRPr="004E0CF2" w:rsidRDefault="00691F6F" w:rsidP="00805F51">
            <w:pPr>
              <w:ind w:right="104"/>
              <w:jc w:val="right"/>
              <w:rPr>
                <w:rFonts w:cs="Arial"/>
                <w:sz w:val="22"/>
                <w:szCs w:val="22"/>
              </w:rPr>
            </w:pPr>
            <w:r>
              <w:rPr>
                <w:rFonts w:cs="Arial"/>
              </w:rPr>
              <w:t>-4.54%</w:t>
            </w:r>
          </w:p>
        </w:tc>
      </w:tr>
      <w:tr w:rsidR="00691F6F" w:rsidRPr="004E0CF2" w14:paraId="7A7393D7" w14:textId="77777777" w:rsidTr="00691F6F">
        <w:tc>
          <w:tcPr>
            <w:tcW w:w="2097" w:type="dxa"/>
          </w:tcPr>
          <w:p w14:paraId="469AE8B0" w14:textId="77777777" w:rsidR="00691F6F" w:rsidRPr="004E0CF2" w:rsidRDefault="00691F6F" w:rsidP="00691F6F">
            <w:pPr>
              <w:jc w:val="left"/>
              <w:rPr>
                <w:rFonts w:cs="Arial"/>
                <w:sz w:val="22"/>
                <w:szCs w:val="22"/>
              </w:rPr>
            </w:pPr>
            <w:r w:rsidRPr="004E0CF2">
              <w:rPr>
                <w:rFonts w:cs="Arial"/>
                <w:sz w:val="22"/>
                <w:szCs w:val="22"/>
              </w:rPr>
              <w:t>Waste and Other</w:t>
            </w:r>
          </w:p>
        </w:tc>
        <w:tc>
          <w:tcPr>
            <w:tcW w:w="1366" w:type="dxa"/>
          </w:tcPr>
          <w:p w14:paraId="3FDD799C" w14:textId="77777777" w:rsidR="00691F6F" w:rsidRPr="004E0CF2" w:rsidRDefault="00691F6F" w:rsidP="00805F51">
            <w:pPr>
              <w:ind w:right="104"/>
              <w:jc w:val="right"/>
              <w:rPr>
                <w:rFonts w:cs="Arial"/>
                <w:sz w:val="22"/>
                <w:szCs w:val="22"/>
              </w:rPr>
            </w:pPr>
            <w:r>
              <w:rPr>
                <w:rFonts w:cs="Arial"/>
              </w:rPr>
              <w:t>2.023</w:t>
            </w:r>
          </w:p>
        </w:tc>
        <w:tc>
          <w:tcPr>
            <w:tcW w:w="1341" w:type="dxa"/>
          </w:tcPr>
          <w:p w14:paraId="2E8F2F10" w14:textId="77777777" w:rsidR="00691F6F" w:rsidRPr="004E0CF2" w:rsidRDefault="00691F6F" w:rsidP="00805F51">
            <w:pPr>
              <w:ind w:right="104"/>
              <w:jc w:val="right"/>
              <w:rPr>
                <w:rFonts w:cs="Arial"/>
                <w:sz w:val="22"/>
                <w:szCs w:val="22"/>
              </w:rPr>
            </w:pPr>
            <w:r>
              <w:rPr>
                <w:rFonts w:cs="Arial"/>
              </w:rPr>
              <w:t>4.412</w:t>
            </w:r>
          </w:p>
        </w:tc>
        <w:tc>
          <w:tcPr>
            <w:tcW w:w="1341" w:type="dxa"/>
          </w:tcPr>
          <w:p w14:paraId="460D470A" w14:textId="77777777" w:rsidR="00691F6F" w:rsidRPr="004E0CF2" w:rsidRDefault="00691F6F" w:rsidP="00805F51">
            <w:pPr>
              <w:ind w:right="104"/>
              <w:jc w:val="right"/>
              <w:rPr>
                <w:rFonts w:cs="Arial"/>
                <w:sz w:val="22"/>
                <w:szCs w:val="22"/>
              </w:rPr>
            </w:pPr>
            <w:r>
              <w:rPr>
                <w:rFonts w:cs="Arial"/>
              </w:rPr>
              <w:t>6.435</w:t>
            </w:r>
          </w:p>
        </w:tc>
        <w:tc>
          <w:tcPr>
            <w:tcW w:w="1188" w:type="dxa"/>
          </w:tcPr>
          <w:p w14:paraId="066B1664" w14:textId="77777777" w:rsidR="00691F6F" w:rsidRPr="004E0CF2" w:rsidRDefault="00691F6F" w:rsidP="00805F51">
            <w:pPr>
              <w:ind w:right="104"/>
              <w:jc w:val="right"/>
              <w:rPr>
                <w:rFonts w:cs="Arial"/>
                <w:sz w:val="22"/>
                <w:szCs w:val="22"/>
              </w:rPr>
            </w:pPr>
            <w:r>
              <w:rPr>
                <w:rFonts w:cs="Arial"/>
              </w:rPr>
              <w:t>2.899</w:t>
            </w:r>
          </w:p>
        </w:tc>
        <w:tc>
          <w:tcPr>
            <w:tcW w:w="1198" w:type="dxa"/>
          </w:tcPr>
          <w:p w14:paraId="55469FF1" w14:textId="77777777" w:rsidR="00691F6F" w:rsidRPr="004E0CF2" w:rsidRDefault="00691F6F" w:rsidP="00805F51">
            <w:pPr>
              <w:ind w:right="104"/>
              <w:jc w:val="right"/>
              <w:rPr>
                <w:rFonts w:cs="Arial"/>
                <w:sz w:val="22"/>
                <w:szCs w:val="22"/>
              </w:rPr>
            </w:pPr>
            <w:r>
              <w:rPr>
                <w:rFonts w:cs="Arial"/>
              </w:rPr>
              <w:t>-3.536</w:t>
            </w:r>
          </w:p>
        </w:tc>
        <w:tc>
          <w:tcPr>
            <w:tcW w:w="1341" w:type="dxa"/>
          </w:tcPr>
          <w:p w14:paraId="1172C170" w14:textId="77777777" w:rsidR="00691F6F" w:rsidRPr="004E0CF2" w:rsidRDefault="00691F6F" w:rsidP="00805F51">
            <w:pPr>
              <w:ind w:right="104"/>
              <w:jc w:val="right"/>
              <w:rPr>
                <w:rFonts w:cs="Arial"/>
                <w:sz w:val="22"/>
                <w:szCs w:val="22"/>
              </w:rPr>
            </w:pPr>
            <w:r>
              <w:rPr>
                <w:rFonts w:cs="Arial"/>
              </w:rPr>
              <w:t>-54.95%</w:t>
            </w:r>
          </w:p>
        </w:tc>
      </w:tr>
      <w:tr w:rsidR="00691F6F" w:rsidRPr="004E0CF2" w14:paraId="08E48C80" w14:textId="77777777" w:rsidTr="00691F6F">
        <w:tc>
          <w:tcPr>
            <w:tcW w:w="2097" w:type="dxa"/>
          </w:tcPr>
          <w:p w14:paraId="3EFB9B1D" w14:textId="77777777" w:rsidR="00691F6F" w:rsidRPr="004E0CF2" w:rsidRDefault="00691F6F" w:rsidP="00691F6F">
            <w:pPr>
              <w:jc w:val="left"/>
              <w:rPr>
                <w:rFonts w:cs="Arial"/>
                <w:sz w:val="22"/>
                <w:szCs w:val="22"/>
              </w:rPr>
            </w:pPr>
            <w:r w:rsidRPr="004E0CF2">
              <w:rPr>
                <w:rFonts w:cs="Arial"/>
                <w:sz w:val="22"/>
                <w:szCs w:val="22"/>
              </w:rPr>
              <w:t>Adults Social Care</w:t>
            </w:r>
          </w:p>
        </w:tc>
        <w:tc>
          <w:tcPr>
            <w:tcW w:w="1366" w:type="dxa"/>
          </w:tcPr>
          <w:p w14:paraId="557A72B0" w14:textId="77777777" w:rsidR="00691F6F" w:rsidRPr="004E0CF2" w:rsidRDefault="00691F6F" w:rsidP="00805F51">
            <w:pPr>
              <w:ind w:right="104"/>
              <w:jc w:val="right"/>
              <w:rPr>
                <w:rFonts w:cs="Arial"/>
                <w:sz w:val="22"/>
                <w:szCs w:val="22"/>
              </w:rPr>
            </w:pPr>
            <w:r>
              <w:rPr>
                <w:rFonts w:cs="Arial"/>
              </w:rPr>
              <w:t>0.562</w:t>
            </w:r>
          </w:p>
        </w:tc>
        <w:tc>
          <w:tcPr>
            <w:tcW w:w="1341" w:type="dxa"/>
          </w:tcPr>
          <w:p w14:paraId="558EAAE5" w14:textId="77777777" w:rsidR="00691F6F" w:rsidRPr="004E0CF2" w:rsidRDefault="00691F6F" w:rsidP="00805F51">
            <w:pPr>
              <w:ind w:right="104"/>
              <w:jc w:val="right"/>
              <w:rPr>
                <w:rFonts w:cs="Arial"/>
                <w:sz w:val="22"/>
                <w:szCs w:val="22"/>
              </w:rPr>
            </w:pPr>
            <w:r>
              <w:rPr>
                <w:rFonts w:cs="Arial"/>
              </w:rPr>
              <w:t>13.508</w:t>
            </w:r>
          </w:p>
        </w:tc>
        <w:tc>
          <w:tcPr>
            <w:tcW w:w="1341" w:type="dxa"/>
          </w:tcPr>
          <w:p w14:paraId="5D3EEEAD" w14:textId="77777777" w:rsidR="00691F6F" w:rsidRPr="004E0CF2" w:rsidRDefault="00691F6F" w:rsidP="00805F51">
            <w:pPr>
              <w:ind w:right="104"/>
              <w:jc w:val="right"/>
              <w:rPr>
                <w:rFonts w:cs="Arial"/>
                <w:sz w:val="22"/>
                <w:szCs w:val="22"/>
              </w:rPr>
            </w:pPr>
            <w:r>
              <w:rPr>
                <w:rFonts w:cs="Arial"/>
              </w:rPr>
              <w:t>14.070</w:t>
            </w:r>
          </w:p>
        </w:tc>
        <w:tc>
          <w:tcPr>
            <w:tcW w:w="1188" w:type="dxa"/>
          </w:tcPr>
          <w:p w14:paraId="52575ABB" w14:textId="77777777" w:rsidR="00691F6F" w:rsidRPr="004E0CF2" w:rsidRDefault="00691F6F" w:rsidP="00805F51">
            <w:pPr>
              <w:ind w:right="104"/>
              <w:jc w:val="right"/>
              <w:rPr>
                <w:rFonts w:cs="Arial"/>
                <w:sz w:val="22"/>
                <w:szCs w:val="22"/>
              </w:rPr>
            </w:pPr>
            <w:r>
              <w:rPr>
                <w:rFonts w:cs="Arial"/>
              </w:rPr>
              <w:t>12.769</w:t>
            </w:r>
          </w:p>
        </w:tc>
        <w:tc>
          <w:tcPr>
            <w:tcW w:w="1198" w:type="dxa"/>
          </w:tcPr>
          <w:p w14:paraId="7C40A9BF" w14:textId="77777777" w:rsidR="00691F6F" w:rsidRPr="004E0CF2" w:rsidRDefault="00691F6F" w:rsidP="00805F51">
            <w:pPr>
              <w:ind w:right="104"/>
              <w:jc w:val="right"/>
              <w:rPr>
                <w:rFonts w:cs="Arial"/>
                <w:sz w:val="22"/>
                <w:szCs w:val="22"/>
              </w:rPr>
            </w:pPr>
            <w:r>
              <w:rPr>
                <w:rFonts w:cs="Arial"/>
              </w:rPr>
              <w:t>-1.301</w:t>
            </w:r>
          </w:p>
        </w:tc>
        <w:tc>
          <w:tcPr>
            <w:tcW w:w="1341" w:type="dxa"/>
          </w:tcPr>
          <w:p w14:paraId="57BD0137" w14:textId="77777777" w:rsidR="00691F6F" w:rsidRPr="004E0CF2" w:rsidRDefault="00691F6F" w:rsidP="00805F51">
            <w:pPr>
              <w:ind w:right="104"/>
              <w:jc w:val="right"/>
              <w:rPr>
                <w:rFonts w:cs="Arial"/>
                <w:sz w:val="22"/>
                <w:szCs w:val="22"/>
              </w:rPr>
            </w:pPr>
            <w:r>
              <w:rPr>
                <w:rFonts w:cs="Arial"/>
              </w:rPr>
              <w:t>-9.25</w:t>
            </w:r>
          </w:p>
        </w:tc>
      </w:tr>
      <w:tr w:rsidR="00691F6F" w:rsidRPr="004E0CF2" w14:paraId="65F9F47A" w14:textId="77777777" w:rsidTr="00691F6F">
        <w:tc>
          <w:tcPr>
            <w:tcW w:w="2097" w:type="dxa"/>
          </w:tcPr>
          <w:p w14:paraId="42EEC518" w14:textId="688078DA" w:rsidR="00691F6F" w:rsidRPr="004E0CF2" w:rsidRDefault="00691F6F" w:rsidP="00691F6F">
            <w:pPr>
              <w:jc w:val="left"/>
              <w:rPr>
                <w:rFonts w:cs="Arial"/>
                <w:sz w:val="22"/>
                <w:szCs w:val="22"/>
              </w:rPr>
            </w:pPr>
            <w:r>
              <w:rPr>
                <w:rFonts w:cs="Arial"/>
              </w:rPr>
              <w:t>Corporate</w:t>
            </w:r>
          </w:p>
        </w:tc>
        <w:tc>
          <w:tcPr>
            <w:tcW w:w="1366" w:type="dxa"/>
          </w:tcPr>
          <w:p w14:paraId="5D0C0534" w14:textId="77777777" w:rsidR="00691F6F" w:rsidRPr="004E0CF2" w:rsidRDefault="00691F6F" w:rsidP="00805F51">
            <w:pPr>
              <w:ind w:right="104"/>
              <w:jc w:val="right"/>
              <w:rPr>
                <w:rFonts w:cs="Arial"/>
                <w:sz w:val="22"/>
                <w:szCs w:val="22"/>
              </w:rPr>
            </w:pPr>
            <w:r>
              <w:rPr>
                <w:rFonts w:cs="Arial"/>
              </w:rPr>
              <w:t>12.276</w:t>
            </w:r>
          </w:p>
        </w:tc>
        <w:tc>
          <w:tcPr>
            <w:tcW w:w="1341" w:type="dxa"/>
          </w:tcPr>
          <w:p w14:paraId="313093C7" w14:textId="77777777" w:rsidR="00691F6F" w:rsidRPr="004E0CF2" w:rsidRDefault="00691F6F" w:rsidP="00805F51">
            <w:pPr>
              <w:ind w:right="104"/>
              <w:jc w:val="right"/>
              <w:rPr>
                <w:rFonts w:cs="Arial"/>
                <w:sz w:val="22"/>
                <w:szCs w:val="22"/>
              </w:rPr>
            </w:pPr>
            <w:r>
              <w:rPr>
                <w:rFonts w:cs="Arial"/>
              </w:rPr>
              <w:t>8.479</w:t>
            </w:r>
          </w:p>
        </w:tc>
        <w:tc>
          <w:tcPr>
            <w:tcW w:w="1341" w:type="dxa"/>
          </w:tcPr>
          <w:p w14:paraId="2FA204BF" w14:textId="77777777" w:rsidR="00691F6F" w:rsidRPr="004E0CF2" w:rsidRDefault="00691F6F" w:rsidP="00805F51">
            <w:pPr>
              <w:ind w:right="104"/>
              <w:jc w:val="right"/>
              <w:rPr>
                <w:rFonts w:cs="Arial"/>
                <w:sz w:val="22"/>
                <w:szCs w:val="22"/>
              </w:rPr>
            </w:pPr>
            <w:r>
              <w:rPr>
                <w:rFonts w:cs="Arial"/>
              </w:rPr>
              <w:t>20.755</w:t>
            </w:r>
          </w:p>
        </w:tc>
        <w:tc>
          <w:tcPr>
            <w:tcW w:w="1188" w:type="dxa"/>
          </w:tcPr>
          <w:p w14:paraId="759CE9DA" w14:textId="77777777" w:rsidR="00691F6F" w:rsidRPr="004E0CF2" w:rsidRDefault="00691F6F" w:rsidP="00805F51">
            <w:pPr>
              <w:ind w:right="104"/>
              <w:jc w:val="right"/>
              <w:rPr>
                <w:rFonts w:cs="Arial"/>
                <w:sz w:val="22"/>
                <w:szCs w:val="22"/>
              </w:rPr>
            </w:pPr>
            <w:r>
              <w:rPr>
                <w:rFonts w:cs="Arial"/>
              </w:rPr>
              <w:t>15.202</w:t>
            </w:r>
          </w:p>
        </w:tc>
        <w:tc>
          <w:tcPr>
            <w:tcW w:w="1198" w:type="dxa"/>
          </w:tcPr>
          <w:p w14:paraId="1FC44190" w14:textId="77777777" w:rsidR="00691F6F" w:rsidRPr="004E0CF2" w:rsidRDefault="00691F6F" w:rsidP="00805F51">
            <w:pPr>
              <w:ind w:right="104"/>
              <w:jc w:val="right"/>
              <w:rPr>
                <w:rFonts w:cs="Arial"/>
                <w:sz w:val="22"/>
                <w:szCs w:val="22"/>
              </w:rPr>
            </w:pPr>
            <w:r>
              <w:rPr>
                <w:rFonts w:cs="Arial"/>
              </w:rPr>
              <w:t>-5.553</w:t>
            </w:r>
          </w:p>
        </w:tc>
        <w:tc>
          <w:tcPr>
            <w:tcW w:w="1341" w:type="dxa"/>
          </w:tcPr>
          <w:p w14:paraId="47140468" w14:textId="77777777" w:rsidR="00691F6F" w:rsidRPr="004E0CF2" w:rsidRDefault="00691F6F" w:rsidP="00805F51">
            <w:pPr>
              <w:ind w:right="104"/>
              <w:jc w:val="right"/>
              <w:rPr>
                <w:rFonts w:cs="Arial"/>
                <w:sz w:val="22"/>
                <w:szCs w:val="22"/>
              </w:rPr>
            </w:pPr>
            <w:r>
              <w:rPr>
                <w:rFonts w:cs="Arial"/>
              </w:rPr>
              <w:t>-26.75%</w:t>
            </w:r>
          </w:p>
        </w:tc>
      </w:tr>
      <w:tr w:rsidR="00691F6F" w:rsidRPr="004E0CF2" w14:paraId="3533CBAD" w14:textId="77777777" w:rsidTr="00691F6F">
        <w:tc>
          <w:tcPr>
            <w:tcW w:w="2097" w:type="dxa"/>
          </w:tcPr>
          <w:p w14:paraId="4124DF56" w14:textId="77777777" w:rsidR="00691F6F" w:rsidRPr="004E0CF2" w:rsidRDefault="00691F6F" w:rsidP="00691F6F">
            <w:pPr>
              <w:jc w:val="left"/>
              <w:rPr>
                <w:rFonts w:cs="Arial"/>
                <w:sz w:val="22"/>
                <w:szCs w:val="22"/>
              </w:rPr>
            </w:pPr>
            <w:r w:rsidRPr="004E0CF2">
              <w:rPr>
                <w:rFonts w:cs="Arial"/>
                <w:sz w:val="22"/>
                <w:szCs w:val="22"/>
              </w:rPr>
              <w:t>Vehicles</w:t>
            </w:r>
          </w:p>
        </w:tc>
        <w:tc>
          <w:tcPr>
            <w:tcW w:w="1366" w:type="dxa"/>
          </w:tcPr>
          <w:p w14:paraId="3E98B91D" w14:textId="77777777" w:rsidR="00691F6F" w:rsidRPr="004E0CF2" w:rsidRDefault="00691F6F" w:rsidP="00805F51">
            <w:pPr>
              <w:ind w:right="104"/>
              <w:jc w:val="right"/>
              <w:rPr>
                <w:rFonts w:cs="Arial"/>
                <w:sz w:val="22"/>
                <w:szCs w:val="22"/>
              </w:rPr>
            </w:pPr>
            <w:r>
              <w:rPr>
                <w:rFonts w:cs="Arial"/>
              </w:rPr>
              <w:t>3.430</w:t>
            </w:r>
          </w:p>
        </w:tc>
        <w:tc>
          <w:tcPr>
            <w:tcW w:w="1341" w:type="dxa"/>
          </w:tcPr>
          <w:p w14:paraId="04026355" w14:textId="77777777" w:rsidR="00691F6F" w:rsidRPr="004E0CF2" w:rsidRDefault="00691F6F" w:rsidP="00805F51">
            <w:pPr>
              <w:ind w:right="104"/>
              <w:jc w:val="right"/>
              <w:rPr>
                <w:rFonts w:cs="Arial"/>
                <w:sz w:val="22"/>
                <w:szCs w:val="22"/>
              </w:rPr>
            </w:pPr>
            <w:r>
              <w:rPr>
                <w:rFonts w:cs="Arial"/>
              </w:rPr>
              <w:t>-0.650</w:t>
            </w:r>
          </w:p>
        </w:tc>
        <w:tc>
          <w:tcPr>
            <w:tcW w:w="1341" w:type="dxa"/>
          </w:tcPr>
          <w:p w14:paraId="6AA96687" w14:textId="77777777" w:rsidR="00691F6F" w:rsidRPr="004E0CF2" w:rsidRDefault="00691F6F" w:rsidP="00805F51">
            <w:pPr>
              <w:ind w:right="104"/>
              <w:jc w:val="right"/>
              <w:rPr>
                <w:rFonts w:cs="Arial"/>
                <w:sz w:val="22"/>
                <w:szCs w:val="22"/>
              </w:rPr>
            </w:pPr>
            <w:r>
              <w:rPr>
                <w:rFonts w:cs="Arial"/>
              </w:rPr>
              <w:t>2.780</w:t>
            </w:r>
          </w:p>
        </w:tc>
        <w:tc>
          <w:tcPr>
            <w:tcW w:w="1188" w:type="dxa"/>
          </w:tcPr>
          <w:p w14:paraId="7FCF4126" w14:textId="77777777" w:rsidR="00691F6F" w:rsidRPr="004E0CF2" w:rsidRDefault="00691F6F" w:rsidP="00805F51">
            <w:pPr>
              <w:ind w:right="104"/>
              <w:jc w:val="right"/>
              <w:rPr>
                <w:rFonts w:cs="Arial"/>
                <w:sz w:val="22"/>
                <w:szCs w:val="22"/>
              </w:rPr>
            </w:pPr>
            <w:r>
              <w:rPr>
                <w:rFonts w:cs="Arial"/>
              </w:rPr>
              <w:t>3.050</w:t>
            </w:r>
          </w:p>
        </w:tc>
        <w:tc>
          <w:tcPr>
            <w:tcW w:w="1198" w:type="dxa"/>
          </w:tcPr>
          <w:p w14:paraId="4D035586" w14:textId="77777777" w:rsidR="00691F6F" w:rsidRPr="004E0CF2" w:rsidRDefault="00691F6F" w:rsidP="00805F51">
            <w:pPr>
              <w:ind w:right="104"/>
              <w:jc w:val="right"/>
              <w:rPr>
                <w:rFonts w:cs="Arial"/>
                <w:sz w:val="22"/>
                <w:szCs w:val="22"/>
              </w:rPr>
            </w:pPr>
            <w:r>
              <w:rPr>
                <w:rFonts w:cs="Arial"/>
              </w:rPr>
              <w:t>0.270</w:t>
            </w:r>
          </w:p>
        </w:tc>
        <w:tc>
          <w:tcPr>
            <w:tcW w:w="1341" w:type="dxa"/>
          </w:tcPr>
          <w:p w14:paraId="13F4E64D" w14:textId="77777777" w:rsidR="00691F6F" w:rsidRPr="004E0CF2" w:rsidRDefault="00691F6F" w:rsidP="00805F51">
            <w:pPr>
              <w:ind w:right="104"/>
              <w:jc w:val="right"/>
              <w:rPr>
                <w:rFonts w:cs="Arial"/>
                <w:sz w:val="22"/>
                <w:szCs w:val="22"/>
              </w:rPr>
            </w:pPr>
            <w:r>
              <w:rPr>
                <w:rFonts w:cs="Arial"/>
              </w:rPr>
              <w:t>9.71%</w:t>
            </w:r>
          </w:p>
        </w:tc>
      </w:tr>
      <w:tr w:rsidR="00691F6F" w:rsidRPr="004E0CF2" w14:paraId="0EF6D14B" w14:textId="77777777" w:rsidTr="00691F6F">
        <w:tc>
          <w:tcPr>
            <w:tcW w:w="2097" w:type="dxa"/>
          </w:tcPr>
          <w:p w14:paraId="1F196C10" w14:textId="77777777" w:rsidR="00691F6F" w:rsidRPr="004E0CF2" w:rsidRDefault="00691F6F" w:rsidP="00691F6F">
            <w:pPr>
              <w:jc w:val="left"/>
              <w:rPr>
                <w:rFonts w:cs="Arial"/>
                <w:b/>
                <w:sz w:val="22"/>
                <w:szCs w:val="22"/>
              </w:rPr>
            </w:pPr>
            <w:r w:rsidRPr="004E0CF2">
              <w:rPr>
                <w:rFonts w:cs="Arial"/>
                <w:b/>
                <w:sz w:val="22"/>
                <w:szCs w:val="22"/>
              </w:rPr>
              <w:t>Totals</w:t>
            </w:r>
          </w:p>
        </w:tc>
        <w:tc>
          <w:tcPr>
            <w:tcW w:w="1366" w:type="dxa"/>
          </w:tcPr>
          <w:p w14:paraId="2D536ED7" w14:textId="77777777" w:rsidR="00691F6F" w:rsidRPr="004E0CF2" w:rsidRDefault="00691F6F" w:rsidP="00805F51">
            <w:pPr>
              <w:ind w:right="104"/>
              <w:jc w:val="right"/>
              <w:rPr>
                <w:rFonts w:cs="Arial"/>
                <w:b/>
                <w:sz w:val="22"/>
                <w:szCs w:val="22"/>
              </w:rPr>
            </w:pPr>
            <w:r>
              <w:rPr>
                <w:rFonts w:cs="Arial"/>
                <w:b/>
              </w:rPr>
              <w:t>126.184</w:t>
            </w:r>
          </w:p>
        </w:tc>
        <w:tc>
          <w:tcPr>
            <w:tcW w:w="1341" w:type="dxa"/>
          </w:tcPr>
          <w:p w14:paraId="74CFFD74" w14:textId="77777777" w:rsidR="00691F6F" w:rsidRPr="004E0CF2" w:rsidRDefault="00691F6F" w:rsidP="00805F51">
            <w:pPr>
              <w:ind w:right="104"/>
              <w:jc w:val="right"/>
              <w:rPr>
                <w:rFonts w:cs="Arial"/>
                <w:b/>
                <w:sz w:val="22"/>
                <w:szCs w:val="22"/>
              </w:rPr>
            </w:pPr>
            <w:r>
              <w:rPr>
                <w:rFonts w:cs="Arial"/>
                <w:b/>
              </w:rPr>
              <w:t>45.427</w:t>
            </w:r>
          </w:p>
        </w:tc>
        <w:tc>
          <w:tcPr>
            <w:tcW w:w="1341" w:type="dxa"/>
          </w:tcPr>
          <w:p w14:paraId="6A3B32B0" w14:textId="77777777" w:rsidR="00691F6F" w:rsidRPr="004E0CF2" w:rsidRDefault="00691F6F" w:rsidP="00805F51">
            <w:pPr>
              <w:ind w:right="104"/>
              <w:jc w:val="right"/>
              <w:rPr>
                <w:rFonts w:cs="Arial"/>
                <w:b/>
                <w:sz w:val="22"/>
                <w:szCs w:val="22"/>
              </w:rPr>
            </w:pPr>
            <w:r>
              <w:rPr>
                <w:rFonts w:cs="Arial"/>
                <w:b/>
              </w:rPr>
              <w:t>171.611</w:t>
            </w:r>
          </w:p>
        </w:tc>
        <w:tc>
          <w:tcPr>
            <w:tcW w:w="1188" w:type="dxa"/>
          </w:tcPr>
          <w:p w14:paraId="7C148B56" w14:textId="77777777" w:rsidR="00691F6F" w:rsidRPr="004E0CF2" w:rsidRDefault="00691F6F" w:rsidP="00805F51">
            <w:pPr>
              <w:ind w:right="104"/>
              <w:jc w:val="right"/>
              <w:rPr>
                <w:rFonts w:cs="Arial"/>
                <w:b/>
                <w:sz w:val="22"/>
                <w:szCs w:val="22"/>
              </w:rPr>
            </w:pPr>
            <w:r>
              <w:rPr>
                <w:rFonts w:cs="Arial"/>
                <w:b/>
              </w:rPr>
              <w:t>155.271</w:t>
            </w:r>
          </w:p>
        </w:tc>
        <w:tc>
          <w:tcPr>
            <w:tcW w:w="1198" w:type="dxa"/>
          </w:tcPr>
          <w:p w14:paraId="3B3256AE" w14:textId="7729DB1C" w:rsidR="00691F6F" w:rsidRPr="004E0CF2" w:rsidRDefault="00691F6F" w:rsidP="009D6093">
            <w:pPr>
              <w:ind w:right="104"/>
              <w:jc w:val="right"/>
              <w:rPr>
                <w:rFonts w:cs="Arial"/>
                <w:b/>
                <w:sz w:val="22"/>
                <w:szCs w:val="22"/>
              </w:rPr>
            </w:pPr>
            <w:r>
              <w:rPr>
                <w:rFonts w:cs="Arial"/>
                <w:b/>
              </w:rPr>
              <w:t>-16.34</w:t>
            </w:r>
            <w:r w:rsidR="009D6093">
              <w:rPr>
                <w:rFonts w:cs="Arial"/>
                <w:b/>
              </w:rPr>
              <w:t>0</w:t>
            </w:r>
          </w:p>
        </w:tc>
        <w:tc>
          <w:tcPr>
            <w:tcW w:w="1341" w:type="dxa"/>
          </w:tcPr>
          <w:p w14:paraId="1534358B" w14:textId="77777777" w:rsidR="00691F6F" w:rsidRPr="004E0CF2" w:rsidRDefault="00691F6F" w:rsidP="00805F51">
            <w:pPr>
              <w:ind w:right="104"/>
              <w:jc w:val="right"/>
              <w:rPr>
                <w:rFonts w:cs="Arial"/>
                <w:b/>
                <w:sz w:val="22"/>
                <w:szCs w:val="22"/>
              </w:rPr>
            </w:pPr>
            <w:r>
              <w:rPr>
                <w:rFonts w:cs="Arial"/>
                <w:b/>
              </w:rPr>
              <w:t>-9.52%</w:t>
            </w:r>
          </w:p>
        </w:tc>
      </w:tr>
    </w:tbl>
    <w:p w14:paraId="6289E4BC" w14:textId="28CFF9ED" w:rsidR="00B75C24" w:rsidRPr="008925CE" w:rsidRDefault="00B75C24" w:rsidP="00B75C24">
      <w:pPr>
        <w:tabs>
          <w:tab w:val="left" w:pos="567"/>
        </w:tabs>
        <w:spacing w:after="0"/>
        <w:ind w:right="-613"/>
        <w:rPr>
          <w:rFonts w:cs="Arial"/>
          <w:lang w:eastAsia="en-GB"/>
        </w:rPr>
      </w:pPr>
    </w:p>
    <w:p w14:paraId="5CA546A3" w14:textId="5A4DDD5A" w:rsidR="00B75C24" w:rsidRDefault="00B75C24" w:rsidP="00B75C24">
      <w:pPr>
        <w:tabs>
          <w:tab w:val="left" w:pos="567"/>
        </w:tabs>
        <w:spacing w:after="0"/>
        <w:ind w:right="-613"/>
        <w:rPr>
          <w:rFonts w:cs="Arial"/>
          <w:lang w:eastAsia="en-GB"/>
        </w:rPr>
      </w:pPr>
      <w:r w:rsidRPr="008925CE">
        <w:rPr>
          <w:rFonts w:cs="Arial"/>
          <w:lang w:eastAsia="en-GB"/>
        </w:rPr>
        <w:t xml:space="preserve">At December 2017, the 2017/18 capital programme is forecast to underspend by £16.341m, the analysis at </w:t>
      </w:r>
      <w:r w:rsidR="009E4412">
        <w:rPr>
          <w:rFonts w:cs="Arial"/>
          <w:lang w:eastAsia="en-GB"/>
        </w:rPr>
        <w:t>S</w:t>
      </w:r>
      <w:r w:rsidRPr="008925CE">
        <w:rPr>
          <w:rFonts w:cs="Arial"/>
          <w:lang w:eastAsia="en-GB"/>
        </w:rPr>
        <w:t xml:space="preserve">ection </w:t>
      </w:r>
      <w:r w:rsidR="009E4412">
        <w:rPr>
          <w:rFonts w:cs="Arial"/>
          <w:lang w:eastAsia="en-GB"/>
        </w:rPr>
        <w:t>1.3</w:t>
      </w:r>
      <w:r w:rsidRPr="008925CE">
        <w:rPr>
          <w:rFonts w:cs="Arial"/>
          <w:lang w:eastAsia="en-GB"/>
        </w:rPr>
        <w:t xml:space="preserve"> shows more detail of performance by block. Work is underway to ascertain how much of this variance will need to be spent in future years</w:t>
      </w:r>
      <w:r>
        <w:rPr>
          <w:rFonts w:cs="Arial"/>
          <w:lang w:eastAsia="en-GB"/>
        </w:rPr>
        <w:t xml:space="preserve">.  </w:t>
      </w:r>
    </w:p>
    <w:p w14:paraId="4B93C2D7" w14:textId="77777777" w:rsidR="00B75C24" w:rsidRPr="008925CE" w:rsidRDefault="00B75C24" w:rsidP="00B75C24">
      <w:pPr>
        <w:tabs>
          <w:tab w:val="left" w:pos="567"/>
        </w:tabs>
        <w:spacing w:after="0"/>
        <w:ind w:right="-613"/>
        <w:rPr>
          <w:rFonts w:cs="Arial"/>
          <w:lang w:eastAsia="en-GB"/>
        </w:rPr>
      </w:pPr>
    </w:p>
    <w:p w14:paraId="7EA693F5" w14:textId="23911322" w:rsidR="00B75C24" w:rsidRPr="007C573F" w:rsidRDefault="009E4412" w:rsidP="00B75C24">
      <w:pPr>
        <w:pStyle w:val="ListParagraph"/>
        <w:numPr>
          <w:ilvl w:val="1"/>
          <w:numId w:val="36"/>
        </w:numPr>
        <w:tabs>
          <w:tab w:val="left" w:pos="567"/>
        </w:tabs>
        <w:autoSpaceDE/>
        <w:autoSpaceDN/>
        <w:adjustRightInd/>
        <w:spacing w:after="0"/>
        <w:ind w:right="-613" w:hanging="720"/>
        <w:rPr>
          <w:rFonts w:cs="Arial"/>
          <w:b/>
          <w:lang w:eastAsia="en-GB"/>
        </w:rPr>
      </w:pPr>
      <w:r>
        <w:rPr>
          <w:rFonts w:cs="Arial"/>
          <w:b/>
          <w:lang w:eastAsia="en-GB"/>
        </w:rPr>
        <w:t>Analysis of 2017/18 Forecast V</w:t>
      </w:r>
      <w:r w:rsidR="00B75C24" w:rsidRPr="007C573F">
        <w:rPr>
          <w:rFonts w:cs="Arial"/>
          <w:b/>
          <w:lang w:eastAsia="en-GB"/>
        </w:rPr>
        <w:t>ariance</w:t>
      </w:r>
    </w:p>
    <w:p w14:paraId="578726BF" w14:textId="77777777" w:rsidR="00B75C24" w:rsidRPr="008925CE" w:rsidRDefault="00B75C24" w:rsidP="00B75C24">
      <w:pPr>
        <w:tabs>
          <w:tab w:val="left" w:pos="567"/>
        </w:tabs>
        <w:spacing w:after="0"/>
        <w:ind w:right="-613"/>
        <w:rPr>
          <w:rFonts w:cs="Arial"/>
          <w:b/>
          <w:lang w:eastAsia="en-GB"/>
        </w:rPr>
      </w:pPr>
    </w:p>
    <w:p w14:paraId="76E65A41" w14:textId="77777777" w:rsidR="00B75C24" w:rsidRDefault="00B75C24" w:rsidP="00B75C24">
      <w:pPr>
        <w:tabs>
          <w:tab w:val="left" w:pos="567"/>
        </w:tabs>
        <w:spacing w:after="0"/>
        <w:ind w:right="-613"/>
        <w:rPr>
          <w:rFonts w:cs="Arial"/>
          <w:lang w:eastAsia="en-GB"/>
        </w:rPr>
      </w:pPr>
      <w:r w:rsidRPr="008925CE">
        <w:rPr>
          <w:rFonts w:cs="Arial"/>
          <w:lang w:eastAsia="en-GB"/>
        </w:rPr>
        <w:t xml:space="preserve">The variance to expected delivery can be categorised into the following reasons; </w:t>
      </w:r>
    </w:p>
    <w:p w14:paraId="7E216CE4" w14:textId="77777777" w:rsidR="00B75C24" w:rsidRDefault="00B75C24" w:rsidP="00B75C24">
      <w:pPr>
        <w:tabs>
          <w:tab w:val="left" w:pos="567"/>
        </w:tabs>
        <w:spacing w:after="0"/>
        <w:ind w:right="-613"/>
        <w:rPr>
          <w:rFonts w:cs="Arial"/>
          <w:lang w:eastAsia="en-GB"/>
        </w:rPr>
      </w:pPr>
    </w:p>
    <w:p w14:paraId="635B5BA4" w14:textId="77777777" w:rsidR="00B75C24" w:rsidRDefault="00B75C24" w:rsidP="00B75C24">
      <w:pPr>
        <w:pStyle w:val="ListParagraph"/>
        <w:numPr>
          <w:ilvl w:val="0"/>
          <w:numId w:val="37"/>
        </w:numPr>
        <w:tabs>
          <w:tab w:val="left" w:pos="567"/>
        </w:tabs>
        <w:autoSpaceDE/>
        <w:autoSpaceDN/>
        <w:adjustRightInd/>
        <w:spacing w:after="0"/>
        <w:ind w:left="567" w:right="-613" w:hanging="567"/>
        <w:rPr>
          <w:rFonts w:cs="Arial"/>
          <w:lang w:eastAsia="en-GB"/>
        </w:rPr>
      </w:pPr>
      <w:r w:rsidRPr="00211559">
        <w:rPr>
          <w:rFonts w:cs="Arial"/>
          <w:lang w:eastAsia="en-GB"/>
        </w:rPr>
        <w:t xml:space="preserve">underspends or overspends – these are reported mainly  on completed projects unless forecasts from project managers highlight issues within a scheme; </w:t>
      </w:r>
    </w:p>
    <w:p w14:paraId="42D78350" w14:textId="77777777" w:rsidR="00B75C24" w:rsidRPr="00A81116" w:rsidRDefault="00B75C24" w:rsidP="00A81116">
      <w:pPr>
        <w:tabs>
          <w:tab w:val="left" w:pos="567"/>
        </w:tabs>
        <w:spacing w:after="0"/>
        <w:ind w:right="-613"/>
        <w:rPr>
          <w:rFonts w:cs="Arial"/>
          <w:lang w:eastAsia="en-GB"/>
        </w:rPr>
      </w:pPr>
    </w:p>
    <w:p w14:paraId="60D55AA5" w14:textId="77777777" w:rsidR="00B75C24" w:rsidRDefault="00B75C24" w:rsidP="00B75C24">
      <w:pPr>
        <w:pStyle w:val="ListParagraph"/>
        <w:numPr>
          <w:ilvl w:val="0"/>
          <w:numId w:val="37"/>
        </w:numPr>
        <w:tabs>
          <w:tab w:val="left" w:pos="567"/>
        </w:tabs>
        <w:autoSpaceDE/>
        <w:autoSpaceDN/>
        <w:adjustRightInd/>
        <w:spacing w:after="0"/>
        <w:ind w:left="567" w:right="-613" w:hanging="567"/>
        <w:rPr>
          <w:rFonts w:cs="Arial"/>
          <w:lang w:eastAsia="en-GB"/>
        </w:rPr>
      </w:pPr>
      <w:r w:rsidRPr="00211559">
        <w:rPr>
          <w:rFonts w:cs="Arial"/>
          <w:lang w:eastAsia="en-GB"/>
        </w:rPr>
        <w:t xml:space="preserve">slippage or under delivery – these occur when projects have  stalled or experienced delivery delays; </w:t>
      </w:r>
    </w:p>
    <w:p w14:paraId="740349D3" w14:textId="77777777" w:rsidR="00B75C24" w:rsidRPr="007C573F" w:rsidRDefault="00B75C24" w:rsidP="00B75C24">
      <w:pPr>
        <w:tabs>
          <w:tab w:val="left" w:pos="567"/>
        </w:tabs>
        <w:spacing w:after="0"/>
        <w:ind w:right="-613"/>
        <w:rPr>
          <w:rFonts w:cs="Arial"/>
          <w:lang w:eastAsia="en-GB"/>
        </w:rPr>
      </w:pPr>
    </w:p>
    <w:p w14:paraId="6E41ABAA" w14:textId="7F7112E4" w:rsidR="009E4412" w:rsidRDefault="00B75C24" w:rsidP="009E4412">
      <w:pPr>
        <w:pStyle w:val="ListParagraph"/>
        <w:numPr>
          <w:ilvl w:val="0"/>
          <w:numId w:val="37"/>
        </w:numPr>
        <w:tabs>
          <w:tab w:val="left" w:pos="567"/>
        </w:tabs>
        <w:autoSpaceDE/>
        <w:autoSpaceDN/>
        <w:adjustRightInd/>
        <w:spacing w:after="0"/>
        <w:ind w:left="567" w:right="-613" w:hanging="567"/>
        <w:rPr>
          <w:rFonts w:cs="Arial"/>
          <w:lang w:eastAsia="en-GB"/>
        </w:rPr>
      </w:pPr>
      <w:r w:rsidRPr="009E4412">
        <w:rPr>
          <w:rFonts w:cs="Arial"/>
          <w:lang w:eastAsia="en-GB"/>
        </w:rPr>
        <w:t>over-deliv</w:t>
      </w:r>
      <w:r w:rsidR="009E4412">
        <w:rPr>
          <w:rFonts w:cs="Arial"/>
          <w:lang w:eastAsia="en-GB"/>
        </w:rPr>
        <w:t>ery – these occur where spend is</w:t>
      </w:r>
      <w:r w:rsidRPr="009E4412">
        <w:rPr>
          <w:rFonts w:cs="Arial"/>
          <w:lang w:eastAsia="en-GB"/>
        </w:rPr>
        <w:t xml:space="preserve"> in front of the anticipated programme.  A s</w:t>
      </w:r>
      <w:r w:rsidR="009E4412">
        <w:rPr>
          <w:rFonts w:cs="Arial"/>
          <w:lang w:eastAsia="en-GB"/>
        </w:rPr>
        <w:t>ummary by block is included at T</w:t>
      </w:r>
      <w:r w:rsidRPr="009E4412">
        <w:rPr>
          <w:rFonts w:cs="Arial"/>
          <w:lang w:eastAsia="en-GB"/>
        </w:rPr>
        <w:t>able 2</w:t>
      </w:r>
      <w:r w:rsidR="009E4412">
        <w:rPr>
          <w:rFonts w:cs="Arial"/>
          <w:lang w:eastAsia="en-GB"/>
        </w:rPr>
        <w:t>.</w:t>
      </w:r>
    </w:p>
    <w:p w14:paraId="11FD5501" w14:textId="68638D7E" w:rsidR="00B75C24" w:rsidRPr="009E4412" w:rsidRDefault="00B75C24" w:rsidP="009E4412">
      <w:pPr>
        <w:tabs>
          <w:tab w:val="left" w:pos="567"/>
        </w:tabs>
        <w:autoSpaceDE/>
        <w:autoSpaceDN/>
        <w:adjustRightInd/>
        <w:spacing w:after="0"/>
        <w:ind w:right="-613"/>
        <w:rPr>
          <w:rFonts w:cs="Arial"/>
          <w:lang w:eastAsia="en-GB"/>
        </w:rPr>
      </w:pPr>
      <w:r w:rsidRPr="009E4412">
        <w:rPr>
          <w:rFonts w:cs="Arial"/>
          <w:lang w:eastAsia="en-GB"/>
        </w:rPr>
        <w:t xml:space="preserve"> </w:t>
      </w:r>
    </w:p>
    <w:p w14:paraId="2C5B1675" w14:textId="00417A25" w:rsidR="00691F6F" w:rsidRPr="00691F6F" w:rsidRDefault="00691F6F" w:rsidP="00B75C24">
      <w:pPr>
        <w:spacing w:after="0"/>
        <w:rPr>
          <w:rFonts w:cs="Arial"/>
          <w:lang w:eastAsia="en-GB"/>
        </w:rPr>
      </w:pPr>
      <w:r>
        <w:rPr>
          <w:rFonts w:cs="Arial"/>
          <w:b/>
          <w:lang w:eastAsia="en-GB"/>
        </w:rPr>
        <w:t xml:space="preserve">Table </w:t>
      </w:r>
      <w:r w:rsidR="009E4412">
        <w:rPr>
          <w:rFonts w:cs="Arial"/>
          <w:b/>
          <w:lang w:eastAsia="en-GB"/>
        </w:rPr>
        <w:t>2</w:t>
      </w:r>
      <w:r w:rsidR="009E4412">
        <w:rPr>
          <w:rFonts w:cs="Arial"/>
          <w:lang w:eastAsia="en-GB"/>
        </w:rPr>
        <w:t>:</w:t>
      </w:r>
      <w:r>
        <w:rPr>
          <w:rFonts w:cs="Arial"/>
          <w:lang w:eastAsia="en-GB"/>
        </w:rPr>
        <w:t xml:space="preserve"> Analysis of Forecast Variance</w:t>
      </w:r>
    </w:p>
    <w:p w14:paraId="331B4901" w14:textId="77777777" w:rsidR="00B75C24" w:rsidRDefault="00B75C24" w:rsidP="00B75C24">
      <w:pPr>
        <w:tabs>
          <w:tab w:val="left" w:pos="567"/>
        </w:tabs>
        <w:spacing w:after="0"/>
        <w:ind w:right="-613"/>
        <w:rPr>
          <w:rFonts w:cs="Arial"/>
          <w:lang w:eastAsia="en-GB"/>
        </w:rPr>
      </w:pPr>
    </w:p>
    <w:tbl>
      <w:tblPr>
        <w:tblW w:w="9634" w:type="dxa"/>
        <w:tblLayout w:type="fixed"/>
        <w:tblLook w:val="04A0" w:firstRow="1" w:lastRow="0" w:firstColumn="1" w:lastColumn="0" w:noHBand="0" w:noVBand="1"/>
      </w:tblPr>
      <w:tblGrid>
        <w:gridCol w:w="2547"/>
        <w:gridCol w:w="1276"/>
        <w:gridCol w:w="1701"/>
        <w:gridCol w:w="1559"/>
        <w:gridCol w:w="1276"/>
        <w:gridCol w:w="1275"/>
      </w:tblGrid>
      <w:tr w:rsidR="00691F6F" w:rsidRPr="00691F6F" w14:paraId="368E755C" w14:textId="77777777" w:rsidTr="001B18A7">
        <w:trPr>
          <w:trHeight w:val="586"/>
        </w:trPr>
        <w:tc>
          <w:tcPr>
            <w:tcW w:w="2547" w:type="dxa"/>
            <w:tcBorders>
              <w:top w:val="single" w:sz="4" w:space="0" w:color="auto"/>
              <w:left w:val="single" w:sz="4" w:space="0" w:color="auto"/>
              <w:bottom w:val="single" w:sz="4" w:space="0" w:color="auto"/>
              <w:right w:val="nil"/>
            </w:tcBorders>
            <w:shd w:val="clear" w:color="auto" w:fill="auto"/>
            <w:hideMark/>
          </w:tcPr>
          <w:p w14:paraId="38CC8833" w14:textId="448B7271" w:rsidR="00B75C24" w:rsidRPr="001B18A7" w:rsidRDefault="00691F6F" w:rsidP="00691F6F">
            <w:pPr>
              <w:tabs>
                <w:tab w:val="left" w:pos="567"/>
              </w:tabs>
              <w:spacing w:after="0"/>
              <w:ind w:right="176"/>
              <w:jc w:val="left"/>
              <w:rPr>
                <w:rFonts w:eastAsia="Times New Roman" w:cs="Arial"/>
                <w:bCs/>
                <w:sz w:val="22"/>
                <w:szCs w:val="22"/>
                <w:lang w:eastAsia="en-GB"/>
              </w:rPr>
            </w:pPr>
            <w:r w:rsidRPr="001B18A7">
              <w:rPr>
                <w:rFonts w:eastAsia="Times New Roman" w:cs="Arial"/>
                <w:bCs/>
                <w:sz w:val="22"/>
                <w:szCs w:val="22"/>
                <w:lang w:eastAsia="en-GB"/>
              </w:rPr>
              <w:t>Service Area</w:t>
            </w:r>
          </w:p>
        </w:tc>
        <w:tc>
          <w:tcPr>
            <w:tcW w:w="1276" w:type="dxa"/>
            <w:tcBorders>
              <w:top w:val="single" w:sz="4" w:space="0" w:color="auto"/>
              <w:left w:val="single" w:sz="4" w:space="0" w:color="auto"/>
              <w:bottom w:val="single" w:sz="4" w:space="0" w:color="auto"/>
              <w:right w:val="nil"/>
            </w:tcBorders>
            <w:shd w:val="clear" w:color="auto" w:fill="auto"/>
            <w:hideMark/>
          </w:tcPr>
          <w:p w14:paraId="2FEEB482" w14:textId="77777777" w:rsidR="00B75C24" w:rsidRDefault="00B75C24" w:rsidP="00691F6F">
            <w:pPr>
              <w:tabs>
                <w:tab w:val="left" w:pos="567"/>
              </w:tabs>
              <w:spacing w:after="0"/>
              <w:ind w:right="176"/>
              <w:jc w:val="left"/>
              <w:rPr>
                <w:rFonts w:eastAsia="Times New Roman" w:cs="Arial"/>
                <w:bCs/>
                <w:sz w:val="22"/>
                <w:szCs w:val="22"/>
                <w:lang w:eastAsia="en-GB"/>
              </w:rPr>
            </w:pPr>
            <w:r w:rsidRPr="001B18A7">
              <w:rPr>
                <w:rFonts w:eastAsia="Times New Roman" w:cs="Arial"/>
                <w:bCs/>
                <w:sz w:val="22"/>
                <w:szCs w:val="22"/>
                <w:lang w:eastAsia="en-GB"/>
              </w:rPr>
              <w:t>Forecast Variance</w:t>
            </w:r>
          </w:p>
          <w:p w14:paraId="1991E864" w14:textId="738FA67B" w:rsidR="009E4412" w:rsidRPr="001B18A7" w:rsidRDefault="009E4412" w:rsidP="009D6093">
            <w:pPr>
              <w:tabs>
                <w:tab w:val="left" w:pos="567"/>
              </w:tabs>
              <w:spacing w:after="0"/>
              <w:ind w:right="176"/>
              <w:jc w:val="right"/>
              <w:rPr>
                <w:rFonts w:eastAsia="Times New Roman" w:cs="Arial"/>
                <w:bCs/>
                <w:sz w:val="22"/>
                <w:szCs w:val="22"/>
                <w:lang w:eastAsia="en-GB"/>
              </w:rPr>
            </w:pPr>
            <w:r>
              <w:rPr>
                <w:rFonts w:eastAsia="Times New Roman" w:cs="Arial"/>
                <w:bCs/>
                <w:sz w:val="22"/>
                <w:szCs w:val="22"/>
                <w:lang w:eastAsia="en-GB"/>
              </w:rPr>
              <w:t>(£m)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F2B2EB" w14:textId="77777777" w:rsidR="00B75C24" w:rsidRDefault="00B75C24" w:rsidP="00691F6F">
            <w:pPr>
              <w:tabs>
                <w:tab w:val="left" w:pos="567"/>
              </w:tabs>
              <w:spacing w:after="0"/>
              <w:ind w:right="176"/>
              <w:jc w:val="left"/>
              <w:rPr>
                <w:rFonts w:eastAsia="Times New Roman" w:cs="Arial"/>
                <w:bCs/>
                <w:sz w:val="22"/>
                <w:szCs w:val="22"/>
                <w:lang w:eastAsia="en-GB"/>
              </w:rPr>
            </w:pPr>
            <w:r w:rsidRPr="001B18A7">
              <w:rPr>
                <w:rFonts w:eastAsia="Times New Roman" w:cs="Arial"/>
                <w:bCs/>
                <w:sz w:val="22"/>
                <w:szCs w:val="22"/>
                <w:lang w:eastAsia="en-GB"/>
              </w:rPr>
              <w:t xml:space="preserve">Forecast </w:t>
            </w:r>
            <w:r w:rsidR="00691F6F" w:rsidRPr="001B18A7">
              <w:rPr>
                <w:rFonts w:eastAsia="Times New Roman" w:cs="Arial"/>
                <w:bCs/>
                <w:sz w:val="22"/>
                <w:szCs w:val="22"/>
                <w:lang w:eastAsia="en-GB"/>
              </w:rPr>
              <w:t>Underspend</w:t>
            </w:r>
          </w:p>
          <w:p w14:paraId="0D8D1255" w14:textId="41C6D37D" w:rsidR="009E4412" w:rsidRPr="001B18A7" w:rsidRDefault="009E4412" w:rsidP="009D6093">
            <w:pPr>
              <w:tabs>
                <w:tab w:val="left" w:pos="567"/>
              </w:tabs>
              <w:spacing w:after="0"/>
              <w:ind w:right="176"/>
              <w:jc w:val="right"/>
              <w:rPr>
                <w:rFonts w:eastAsia="Times New Roman" w:cs="Arial"/>
                <w:bCs/>
                <w:sz w:val="22"/>
                <w:szCs w:val="22"/>
                <w:lang w:eastAsia="en-GB"/>
              </w:rPr>
            </w:pPr>
            <w:r>
              <w:rPr>
                <w:rFonts w:eastAsia="Times New Roman" w:cs="Arial"/>
                <w:bCs/>
                <w:sz w:val="22"/>
                <w:szCs w:val="22"/>
                <w:lang w:eastAsia="en-GB"/>
              </w:rPr>
              <w:t>(£m)</w:t>
            </w:r>
          </w:p>
        </w:tc>
        <w:tc>
          <w:tcPr>
            <w:tcW w:w="1559" w:type="dxa"/>
            <w:tcBorders>
              <w:top w:val="single" w:sz="4" w:space="0" w:color="auto"/>
              <w:left w:val="nil"/>
              <w:bottom w:val="single" w:sz="4" w:space="0" w:color="auto"/>
              <w:right w:val="single" w:sz="4" w:space="0" w:color="auto"/>
            </w:tcBorders>
            <w:shd w:val="clear" w:color="auto" w:fill="auto"/>
            <w:hideMark/>
          </w:tcPr>
          <w:p w14:paraId="03AC2E64" w14:textId="77777777" w:rsidR="00B75C24" w:rsidRDefault="00B75C24" w:rsidP="00691F6F">
            <w:pPr>
              <w:tabs>
                <w:tab w:val="left" w:pos="567"/>
              </w:tabs>
              <w:spacing w:after="0"/>
              <w:ind w:right="176"/>
              <w:jc w:val="left"/>
              <w:rPr>
                <w:rFonts w:eastAsia="Times New Roman" w:cs="Arial"/>
                <w:bCs/>
                <w:sz w:val="22"/>
                <w:szCs w:val="22"/>
                <w:lang w:eastAsia="en-GB"/>
              </w:rPr>
            </w:pPr>
            <w:r w:rsidRPr="001B18A7">
              <w:rPr>
                <w:rFonts w:eastAsia="Times New Roman" w:cs="Arial"/>
                <w:bCs/>
                <w:sz w:val="22"/>
                <w:szCs w:val="22"/>
                <w:lang w:eastAsia="en-GB"/>
              </w:rPr>
              <w:t xml:space="preserve">Forecast </w:t>
            </w:r>
            <w:r w:rsidR="00691F6F" w:rsidRPr="001B18A7">
              <w:rPr>
                <w:rFonts w:eastAsia="Times New Roman" w:cs="Arial"/>
                <w:bCs/>
                <w:sz w:val="22"/>
                <w:szCs w:val="22"/>
                <w:lang w:eastAsia="en-GB"/>
              </w:rPr>
              <w:t>Overspend</w:t>
            </w:r>
          </w:p>
          <w:p w14:paraId="7804FDB9" w14:textId="7F7C6CD8" w:rsidR="009E4412" w:rsidRPr="001B18A7" w:rsidRDefault="009E4412" w:rsidP="009D6093">
            <w:pPr>
              <w:tabs>
                <w:tab w:val="left" w:pos="567"/>
              </w:tabs>
              <w:spacing w:after="0"/>
              <w:ind w:right="176"/>
              <w:jc w:val="right"/>
              <w:rPr>
                <w:rFonts w:eastAsia="Times New Roman" w:cs="Arial"/>
                <w:bCs/>
                <w:sz w:val="22"/>
                <w:szCs w:val="22"/>
                <w:lang w:eastAsia="en-GB"/>
              </w:rPr>
            </w:pPr>
            <w:r>
              <w:rPr>
                <w:rFonts w:eastAsia="Times New Roman" w:cs="Arial"/>
                <w:bCs/>
                <w:sz w:val="22"/>
                <w:szCs w:val="22"/>
                <w:lang w:eastAsia="en-GB"/>
              </w:rPr>
              <w:t>(£m)</w:t>
            </w:r>
          </w:p>
        </w:tc>
        <w:tc>
          <w:tcPr>
            <w:tcW w:w="1276" w:type="dxa"/>
            <w:tcBorders>
              <w:top w:val="single" w:sz="4" w:space="0" w:color="auto"/>
              <w:left w:val="nil"/>
              <w:bottom w:val="single" w:sz="4" w:space="0" w:color="auto"/>
              <w:right w:val="single" w:sz="4" w:space="0" w:color="auto"/>
            </w:tcBorders>
            <w:shd w:val="clear" w:color="auto" w:fill="auto"/>
            <w:hideMark/>
          </w:tcPr>
          <w:p w14:paraId="63689559" w14:textId="77777777" w:rsidR="00B75C24" w:rsidRDefault="00B75C24" w:rsidP="00691F6F">
            <w:pPr>
              <w:tabs>
                <w:tab w:val="left" w:pos="567"/>
              </w:tabs>
              <w:spacing w:after="0"/>
              <w:ind w:right="176"/>
              <w:jc w:val="left"/>
              <w:rPr>
                <w:rFonts w:eastAsia="Times New Roman" w:cs="Arial"/>
                <w:bCs/>
                <w:sz w:val="22"/>
                <w:szCs w:val="22"/>
                <w:lang w:eastAsia="en-GB"/>
              </w:rPr>
            </w:pPr>
            <w:r w:rsidRPr="001B18A7">
              <w:rPr>
                <w:rFonts w:eastAsia="Times New Roman" w:cs="Arial"/>
                <w:bCs/>
                <w:sz w:val="22"/>
                <w:szCs w:val="22"/>
                <w:lang w:eastAsia="en-GB"/>
              </w:rPr>
              <w:t>Slipped Delivery</w:t>
            </w:r>
          </w:p>
          <w:p w14:paraId="31D7EA7B" w14:textId="3E367357" w:rsidR="009E4412" w:rsidRPr="001B18A7" w:rsidRDefault="009E4412" w:rsidP="009D6093">
            <w:pPr>
              <w:tabs>
                <w:tab w:val="left" w:pos="567"/>
              </w:tabs>
              <w:spacing w:after="0"/>
              <w:ind w:right="176"/>
              <w:jc w:val="right"/>
              <w:rPr>
                <w:rFonts w:eastAsia="Times New Roman" w:cs="Arial"/>
                <w:bCs/>
                <w:sz w:val="22"/>
                <w:szCs w:val="22"/>
                <w:lang w:eastAsia="en-GB"/>
              </w:rPr>
            </w:pPr>
            <w:r>
              <w:rPr>
                <w:rFonts w:eastAsia="Times New Roman" w:cs="Arial"/>
                <w:bCs/>
                <w:sz w:val="22"/>
                <w:szCs w:val="22"/>
                <w:lang w:eastAsia="en-GB"/>
              </w:rPr>
              <w:t>(£m)</w:t>
            </w:r>
          </w:p>
        </w:tc>
        <w:tc>
          <w:tcPr>
            <w:tcW w:w="1275" w:type="dxa"/>
            <w:tcBorders>
              <w:top w:val="single" w:sz="4" w:space="0" w:color="auto"/>
              <w:left w:val="nil"/>
              <w:bottom w:val="single" w:sz="4" w:space="0" w:color="auto"/>
              <w:right w:val="single" w:sz="4" w:space="0" w:color="auto"/>
            </w:tcBorders>
            <w:shd w:val="clear" w:color="auto" w:fill="auto"/>
            <w:hideMark/>
          </w:tcPr>
          <w:p w14:paraId="49F39BAF" w14:textId="77777777" w:rsidR="00B75C24" w:rsidRDefault="00B75C24" w:rsidP="00691F6F">
            <w:pPr>
              <w:tabs>
                <w:tab w:val="left" w:pos="567"/>
              </w:tabs>
              <w:spacing w:after="0"/>
              <w:ind w:right="176"/>
              <w:jc w:val="left"/>
              <w:rPr>
                <w:rFonts w:eastAsia="Times New Roman" w:cs="Arial"/>
                <w:bCs/>
                <w:sz w:val="22"/>
                <w:szCs w:val="22"/>
                <w:lang w:eastAsia="en-GB"/>
              </w:rPr>
            </w:pPr>
            <w:r w:rsidRPr="001B18A7">
              <w:rPr>
                <w:rFonts w:eastAsia="Times New Roman" w:cs="Arial"/>
                <w:bCs/>
                <w:sz w:val="22"/>
                <w:szCs w:val="22"/>
                <w:lang w:eastAsia="en-GB"/>
              </w:rPr>
              <w:t>Advance Delivery</w:t>
            </w:r>
          </w:p>
          <w:p w14:paraId="434B3073" w14:textId="21A86291" w:rsidR="009E4412" w:rsidRPr="001B18A7" w:rsidRDefault="009E4412" w:rsidP="009D6093">
            <w:pPr>
              <w:tabs>
                <w:tab w:val="left" w:pos="567"/>
              </w:tabs>
              <w:spacing w:after="0"/>
              <w:ind w:right="176"/>
              <w:jc w:val="right"/>
              <w:rPr>
                <w:rFonts w:eastAsia="Times New Roman" w:cs="Arial"/>
                <w:bCs/>
                <w:sz w:val="22"/>
                <w:szCs w:val="22"/>
                <w:lang w:eastAsia="en-GB"/>
              </w:rPr>
            </w:pPr>
            <w:r>
              <w:rPr>
                <w:rFonts w:eastAsia="Times New Roman" w:cs="Arial"/>
                <w:bCs/>
                <w:sz w:val="22"/>
                <w:szCs w:val="22"/>
                <w:lang w:eastAsia="en-GB"/>
              </w:rPr>
              <w:t>(£m)</w:t>
            </w:r>
          </w:p>
        </w:tc>
      </w:tr>
      <w:tr w:rsidR="001B18A7" w:rsidRPr="00211559" w14:paraId="64DE8B5E" w14:textId="77777777" w:rsidTr="001B18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F311" w14:textId="042CC756" w:rsidR="00B75C24" w:rsidRPr="001B18A7" w:rsidRDefault="00B75C24" w:rsidP="00691F6F">
            <w:pPr>
              <w:tabs>
                <w:tab w:val="left" w:pos="567"/>
              </w:tabs>
              <w:spacing w:after="0"/>
              <w:ind w:right="176"/>
              <w:rPr>
                <w:rFonts w:eastAsia="Times New Roman" w:cs="Arial"/>
                <w:sz w:val="22"/>
                <w:szCs w:val="22"/>
                <w:lang w:eastAsia="en-GB"/>
              </w:rPr>
            </w:pPr>
            <w:r w:rsidRPr="001B18A7">
              <w:rPr>
                <w:rFonts w:eastAsia="Times New Roman" w:cs="Arial"/>
                <w:sz w:val="22"/>
                <w:szCs w:val="22"/>
                <w:lang w:eastAsia="en-GB"/>
              </w:rPr>
              <w:t>Schools (inc</w:t>
            </w:r>
            <w:r w:rsidR="00691F6F" w:rsidRPr="001B18A7">
              <w:rPr>
                <w:rFonts w:eastAsia="Times New Roman" w:cs="Arial"/>
                <w:sz w:val="22"/>
                <w:szCs w:val="22"/>
                <w:lang w:eastAsia="en-GB"/>
              </w:rPr>
              <w:t>l</w:t>
            </w:r>
            <w:r w:rsidRPr="001B18A7">
              <w:rPr>
                <w:rFonts w:eastAsia="Times New Roman" w:cs="Arial"/>
                <w:sz w:val="22"/>
                <w:szCs w:val="22"/>
                <w:lang w:eastAsia="en-GB"/>
              </w:rPr>
              <w:t xml:space="preserve"> DFC)</w:t>
            </w:r>
          </w:p>
        </w:tc>
        <w:tc>
          <w:tcPr>
            <w:tcW w:w="1276" w:type="dxa"/>
            <w:tcBorders>
              <w:top w:val="single" w:sz="4" w:space="0" w:color="auto"/>
              <w:left w:val="nil"/>
              <w:bottom w:val="single" w:sz="4" w:space="0" w:color="auto"/>
              <w:right w:val="nil"/>
            </w:tcBorders>
            <w:shd w:val="clear" w:color="auto" w:fill="auto"/>
            <w:noWrap/>
            <w:vAlign w:val="bottom"/>
            <w:hideMark/>
          </w:tcPr>
          <w:p w14:paraId="3B46BE66" w14:textId="0C80BBE7"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0.117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2633" w14:textId="14F70F9D"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1.991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DD2F85" w14:textId="77777777" w:rsidR="00B75C24" w:rsidRPr="001B18A7" w:rsidRDefault="00B75C24" w:rsidP="00691F6F">
            <w:pPr>
              <w:tabs>
                <w:tab w:val="left" w:pos="567"/>
              </w:tabs>
              <w:spacing w:after="0"/>
              <w:ind w:right="175"/>
              <w:jc w:val="right"/>
              <w:rPr>
                <w:rFonts w:eastAsia="Times New Roman" w:cs="Arial"/>
                <w:sz w:val="22"/>
                <w:szCs w:val="22"/>
                <w:lang w:eastAsia="en-GB"/>
              </w:rPr>
            </w:pPr>
            <w:r w:rsidRPr="001B18A7">
              <w:rPr>
                <w:rFonts w:eastAsia="Times New Roman" w:cs="Arial"/>
                <w:sz w:val="22"/>
                <w:szCs w:val="22"/>
                <w:lang w:eastAsia="en-GB"/>
              </w:rPr>
              <w:t>0.372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74D59C" w14:textId="31FC3A6A"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6.066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33A8C5" w14:textId="02C39723" w:rsidR="00B75C24" w:rsidRPr="001B18A7" w:rsidRDefault="00691F6F" w:rsidP="00691F6F">
            <w:pPr>
              <w:spacing w:after="0"/>
              <w:ind w:right="176"/>
              <w:jc w:val="right"/>
              <w:rPr>
                <w:rFonts w:eastAsia="Times New Roman" w:cs="Arial"/>
                <w:sz w:val="22"/>
                <w:szCs w:val="22"/>
                <w:lang w:eastAsia="en-GB"/>
              </w:rPr>
            </w:pPr>
            <w:r w:rsidRPr="001B18A7">
              <w:rPr>
                <w:rFonts w:eastAsia="Times New Roman" w:cs="Arial"/>
                <w:sz w:val="22"/>
                <w:szCs w:val="22"/>
                <w:lang w:eastAsia="en-GB"/>
              </w:rPr>
              <w:t>7.568</w:t>
            </w:r>
          </w:p>
        </w:tc>
      </w:tr>
      <w:tr w:rsidR="001B18A7" w:rsidRPr="00211559" w14:paraId="5690BC2E" w14:textId="77777777" w:rsidTr="001B18A7">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59474" w14:textId="77777777" w:rsidR="00B75C24" w:rsidRPr="001B18A7" w:rsidRDefault="00B75C24" w:rsidP="00691F6F">
            <w:pPr>
              <w:tabs>
                <w:tab w:val="left" w:pos="567"/>
              </w:tabs>
              <w:spacing w:after="0"/>
              <w:ind w:right="176"/>
              <w:jc w:val="left"/>
              <w:rPr>
                <w:rFonts w:eastAsia="Times New Roman" w:cs="Arial"/>
                <w:sz w:val="22"/>
                <w:szCs w:val="22"/>
                <w:lang w:eastAsia="en-GB"/>
              </w:rPr>
            </w:pPr>
            <w:r w:rsidRPr="001B18A7">
              <w:rPr>
                <w:rFonts w:eastAsia="Times New Roman" w:cs="Arial"/>
                <w:sz w:val="22"/>
                <w:szCs w:val="22"/>
                <w:lang w:eastAsia="en-GB"/>
              </w:rPr>
              <w:t>Children and Young People</w:t>
            </w:r>
          </w:p>
        </w:tc>
        <w:tc>
          <w:tcPr>
            <w:tcW w:w="1276" w:type="dxa"/>
            <w:tcBorders>
              <w:top w:val="single" w:sz="4" w:space="0" w:color="auto"/>
              <w:left w:val="nil"/>
              <w:bottom w:val="single" w:sz="4" w:space="0" w:color="auto"/>
              <w:right w:val="nil"/>
            </w:tcBorders>
            <w:shd w:val="clear" w:color="auto" w:fill="auto"/>
            <w:noWrap/>
            <w:vAlign w:val="bottom"/>
            <w:hideMark/>
          </w:tcPr>
          <w:p w14:paraId="2D6CF0EC" w14:textId="41B53CA6" w:rsidR="00B75C24" w:rsidRPr="001B18A7" w:rsidRDefault="00B75C24"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 xml:space="preserve">2.119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34BDA" w14:textId="66B977D3"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0.143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61B3ED" w14:textId="77777777" w:rsidR="00B75C24" w:rsidRPr="001B18A7" w:rsidRDefault="00B75C24" w:rsidP="00691F6F">
            <w:pPr>
              <w:tabs>
                <w:tab w:val="left" w:pos="567"/>
              </w:tabs>
              <w:spacing w:after="0"/>
              <w:ind w:right="175"/>
              <w:jc w:val="right"/>
              <w:rPr>
                <w:rFonts w:eastAsia="Times New Roman" w:cs="Arial"/>
                <w:sz w:val="22"/>
                <w:szCs w:val="22"/>
                <w:lang w:eastAsia="en-GB"/>
              </w:rPr>
            </w:pPr>
            <w:r w:rsidRPr="001B18A7">
              <w:rPr>
                <w:rFonts w:eastAsia="Times New Roman" w:cs="Arial"/>
                <w:sz w:val="22"/>
                <w:szCs w:val="22"/>
                <w:lang w:eastAsia="en-GB"/>
              </w:rPr>
              <w:t>0.003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405AC0" w14:textId="733CEA49"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2.330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E62E72" w14:textId="2489C28E" w:rsidR="00B75C24" w:rsidRPr="001B18A7" w:rsidRDefault="00B75C24" w:rsidP="00691F6F">
            <w:pPr>
              <w:spacing w:after="0"/>
              <w:ind w:right="176"/>
              <w:jc w:val="right"/>
              <w:rPr>
                <w:rFonts w:eastAsia="Times New Roman" w:cs="Arial"/>
                <w:sz w:val="22"/>
                <w:szCs w:val="22"/>
                <w:lang w:eastAsia="en-GB"/>
              </w:rPr>
            </w:pPr>
            <w:r w:rsidRPr="001B18A7">
              <w:rPr>
                <w:rFonts w:eastAsia="Times New Roman" w:cs="Arial"/>
                <w:sz w:val="22"/>
                <w:szCs w:val="22"/>
                <w:lang w:eastAsia="en-GB"/>
              </w:rPr>
              <w:t>4.589</w:t>
            </w:r>
          </w:p>
        </w:tc>
      </w:tr>
      <w:tr w:rsidR="001B18A7" w:rsidRPr="00211559" w14:paraId="5FA21D9D" w14:textId="77777777" w:rsidTr="001B1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99018B7" w14:textId="77777777" w:rsidR="00B75C24" w:rsidRPr="001B18A7" w:rsidRDefault="00B75C24" w:rsidP="00691F6F">
            <w:pPr>
              <w:tabs>
                <w:tab w:val="left" w:pos="567"/>
              </w:tabs>
              <w:spacing w:after="0"/>
              <w:ind w:right="176"/>
              <w:rPr>
                <w:rFonts w:eastAsia="Times New Roman" w:cs="Arial"/>
                <w:sz w:val="22"/>
                <w:szCs w:val="22"/>
                <w:lang w:eastAsia="en-GB"/>
              </w:rPr>
            </w:pPr>
            <w:r w:rsidRPr="001B18A7">
              <w:rPr>
                <w:rFonts w:eastAsia="Times New Roman" w:cs="Arial"/>
                <w:sz w:val="22"/>
                <w:szCs w:val="22"/>
                <w:lang w:eastAsia="en-GB"/>
              </w:rPr>
              <w:t>Highways</w:t>
            </w:r>
          </w:p>
        </w:tc>
        <w:tc>
          <w:tcPr>
            <w:tcW w:w="1276" w:type="dxa"/>
            <w:tcBorders>
              <w:top w:val="nil"/>
              <w:left w:val="nil"/>
              <w:bottom w:val="single" w:sz="4" w:space="0" w:color="auto"/>
              <w:right w:val="nil"/>
            </w:tcBorders>
            <w:shd w:val="clear" w:color="auto" w:fill="auto"/>
            <w:noWrap/>
            <w:vAlign w:val="bottom"/>
            <w:hideMark/>
          </w:tcPr>
          <w:p w14:paraId="7810DC73" w14:textId="3848FEA4"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6.490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9E61BEB" w14:textId="77677731"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0.460</w:t>
            </w:r>
          </w:p>
        </w:tc>
        <w:tc>
          <w:tcPr>
            <w:tcW w:w="1559" w:type="dxa"/>
            <w:tcBorders>
              <w:top w:val="nil"/>
              <w:left w:val="nil"/>
              <w:bottom w:val="single" w:sz="4" w:space="0" w:color="auto"/>
              <w:right w:val="single" w:sz="4" w:space="0" w:color="auto"/>
            </w:tcBorders>
            <w:shd w:val="clear" w:color="auto" w:fill="auto"/>
            <w:noWrap/>
            <w:vAlign w:val="bottom"/>
            <w:hideMark/>
          </w:tcPr>
          <w:p w14:paraId="4BC9CED4" w14:textId="77777777" w:rsidR="00B75C24" w:rsidRPr="001B18A7" w:rsidRDefault="00B75C24" w:rsidP="00691F6F">
            <w:pPr>
              <w:tabs>
                <w:tab w:val="left" w:pos="567"/>
              </w:tabs>
              <w:spacing w:after="0"/>
              <w:ind w:right="175"/>
              <w:jc w:val="right"/>
              <w:rPr>
                <w:rFonts w:eastAsia="Times New Roman" w:cs="Arial"/>
                <w:sz w:val="22"/>
                <w:szCs w:val="22"/>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1810674C" w14:textId="0B2D083B"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6.030 </w:t>
            </w:r>
          </w:p>
        </w:tc>
        <w:tc>
          <w:tcPr>
            <w:tcW w:w="1275" w:type="dxa"/>
            <w:tcBorders>
              <w:top w:val="nil"/>
              <w:left w:val="nil"/>
              <w:bottom w:val="single" w:sz="4" w:space="0" w:color="auto"/>
              <w:right w:val="single" w:sz="4" w:space="0" w:color="auto"/>
            </w:tcBorders>
            <w:shd w:val="clear" w:color="auto" w:fill="auto"/>
            <w:noWrap/>
            <w:vAlign w:val="bottom"/>
            <w:hideMark/>
          </w:tcPr>
          <w:p w14:paraId="48577EA3" w14:textId="77777777" w:rsidR="00B75C24" w:rsidRPr="001B18A7" w:rsidRDefault="00B75C24" w:rsidP="00691F6F">
            <w:pPr>
              <w:spacing w:after="0"/>
              <w:ind w:right="176"/>
              <w:jc w:val="right"/>
              <w:rPr>
                <w:rFonts w:eastAsia="Times New Roman" w:cs="Arial"/>
                <w:sz w:val="22"/>
                <w:szCs w:val="22"/>
                <w:lang w:eastAsia="en-GB"/>
              </w:rPr>
            </w:pPr>
            <w:r w:rsidRPr="001B18A7">
              <w:rPr>
                <w:rFonts w:eastAsia="Times New Roman" w:cs="Arial"/>
                <w:sz w:val="22"/>
                <w:szCs w:val="22"/>
                <w:lang w:eastAsia="en-GB"/>
              </w:rPr>
              <w:t> </w:t>
            </w:r>
          </w:p>
        </w:tc>
      </w:tr>
      <w:tr w:rsidR="001B18A7" w:rsidRPr="00211559" w14:paraId="45CAD98F" w14:textId="77777777" w:rsidTr="001B1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956E72D" w14:textId="77777777" w:rsidR="00B75C24" w:rsidRPr="001B18A7" w:rsidRDefault="00B75C24" w:rsidP="00691F6F">
            <w:pPr>
              <w:tabs>
                <w:tab w:val="left" w:pos="567"/>
              </w:tabs>
              <w:spacing w:after="0"/>
              <w:ind w:right="176"/>
              <w:rPr>
                <w:rFonts w:eastAsia="Times New Roman" w:cs="Arial"/>
                <w:sz w:val="22"/>
                <w:szCs w:val="22"/>
                <w:lang w:eastAsia="en-GB"/>
              </w:rPr>
            </w:pPr>
            <w:r w:rsidRPr="001B18A7">
              <w:rPr>
                <w:rFonts w:eastAsia="Times New Roman" w:cs="Arial"/>
                <w:sz w:val="22"/>
                <w:szCs w:val="22"/>
                <w:lang w:eastAsia="en-GB"/>
              </w:rPr>
              <w:t>Transport</w:t>
            </w:r>
          </w:p>
        </w:tc>
        <w:tc>
          <w:tcPr>
            <w:tcW w:w="1276" w:type="dxa"/>
            <w:tcBorders>
              <w:top w:val="nil"/>
              <w:left w:val="nil"/>
              <w:bottom w:val="single" w:sz="4" w:space="0" w:color="auto"/>
              <w:right w:val="nil"/>
            </w:tcBorders>
            <w:shd w:val="clear" w:color="auto" w:fill="auto"/>
            <w:noWrap/>
            <w:vAlign w:val="bottom"/>
            <w:hideMark/>
          </w:tcPr>
          <w:p w14:paraId="45EF8CB4" w14:textId="1DEC73B5"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1.732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1F5A9B0" w14:textId="77777777" w:rsidR="00B75C24" w:rsidRPr="001B18A7" w:rsidRDefault="00B75C24" w:rsidP="00691F6F">
            <w:pPr>
              <w:tabs>
                <w:tab w:val="left" w:pos="567"/>
              </w:tabs>
              <w:spacing w:after="0"/>
              <w:ind w:right="176"/>
              <w:jc w:val="right"/>
              <w:rPr>
                <w:rFonts w:eastAsia="Times New Roman" w:cs="Arial"/>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187B85AE" w14:textId="77777777" w:rsidR="00B75C24" w:rsidRPr="001B18A7" w:rsidRDefault="00B75C24" w:rsidP="00691F6F">
            <w:pPr>
              <w:tabs>
                <w:tab w:val="left" w:pos="567"/>
              </w:tabs>
              <w:spacing w:after="0"/>
              <w:ind w:right="175"/>
              <w:jc w:val="right"/>
              <w:rPr>
                <w:rFonts w:eastAsia="Times New Roman" w:cs="Arial"/>
                <w:sz w:val="22"/>
                <w:szCs w:val="22"/>
                <w:lang w:eastAsia="en-GB"/>
              </w:rPr>
            </w:pPr>
            <w:r w:rsidRPr="001B18A7">
              <w:rPr>
                <w:rFonts w:eastAsia="Times New Roman" w:cs="Arial"/>
                <w:sz w:val="22"/>
                <w:szCs w:val="22"/>
                <w:lang w:eastAsia="en-GB"/>
              </w:rPr>
              <w:t>2.812</w:t>
            </w:r>
          </w:p>
        </w:tc>
        <w:tc>
          <w:tcPr>
            <w:tcW w:w="1276" w:type="dxa"/>
            <w:tcBorders>
              <w:top w:val="nil"/>
              <w:left w:val="nil"/>
              <w:bottom w:val="single" w:sz="4" w:space="0" w:color="auto"/>
              <w:right w:val="single" w:sz="4" w:space="0" w:color="auto"/>
            </w:tcBorders>
            <w:shd w:val="clear" w:color="auto" w:fill="auto"/>
            <w:noWrap/>
            <w:vAlign w:val="bottom"/>
            <w:hideMark/>
          </w:tcPr>
          <w:p w14:paraId="55C4154A" w14:textId="20217011"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5.845 </w:t>
            </w:r>
          </w:p>
        </w:tc>
        <w:tc>
          <w:tcPr>
            <w:tcW w:w="1275" w:type="dxa"/>
            <w:tcBorders>
              <w:top w:val="nil"/>
              <w:left w:val="nil"/>
              <w:bottom w:val="single" w:sz="4" w:space="0" w:color="auto"/>
              <w:right w:val="single" w:sz="4" w:space="0" w:color="auto"/>
            </w:tcBorders>
            <w:shd w:val="clear" w:color="auto" w:fill="auto"/>
            <w:noWrap/>
            <w:vAlign w:val="bottom"/>
            <w:hideMark/>
          </w:tcPr>
          <w:p w14:paraId="5E7190BF" w14:textId="53F974D7" w:rsidR="00B75C24" w:rsidRPr="001B18A7" w:rsidRDefault="00B75C24" w:rsidP="00691F6F">
            <w:pPr>
              <w:spacing w:after="0"/>
              <w:ind w:right="176"/>
              <w:jc w:val="right"/>
              <w:rPr>
                <w:rFonts w:eastAsia="Times New Roman" w:cs="Arial"/>
                <w:sz w:val="22"/>
                <w:szCs w:val="22"/>
                <w:lang w:eastAsia="en-GB"/>
              </w:rPr>
            </w:pPr>
            <w:r w:rsidRPr="001B18A7">
              <w:rPr>
                <w:rFonts w:eastAsia="Times New Roman" w:cs="Arial"/>
                <w:sz w:val="22"/>
                <w:szCs w:val="22"/>
                <w:lang w:eastAsia="en-GB"/>
              </w:rPr>
              <w:t>1.300</w:t>
            </w:r>
          </w:p>
        </w:tc>
      </w:tr>
      <w:tr w:rsidR="001B18A7" w:rsidRPr="00211559" w14:paraId="7D76F2B6" w14:textId="77777777" w:rsidTr="001B1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2092B8D" w14:textId="77777777" w:rsidR="00B75C24" w:rsidRPr="001B18A7" w:rsidRDefault="00B75C24" w:rsidP="00691F6F">
            <w:pPr>
              <w:tabs>
                <w:tab w:val="left" w:pos="567"/>
              </w:tabs>
              <w:spacing w:after="0"/>
              <w:ind w:right="176"/>
              <w:rPr>
                <w:rFonts w:eastAsia="Times New Roman" w:cs="Arial"/>
                <w:sz w:val="22"/>
                <w:szCs w:val="22"/>
                <w:lang w:eastAsia="en-GB"/>
              </w:rPr>
            </w:pPr>
            <w:r w:rsidRPr="001B18A7">
              <w:rPr>
                <w:rFonts w:eastAsia="Times New Roman" w:cs="Arial"/>
                <w:sz w:val="22"/>
                <w:szCs w:val="22"/>
                <w:lang w:eastAsia="en-GB"/>
              </w:rPr>
              <w:t>Waste and Other</w:t>
            </w:r>
          </w:p>
        </w:tc>
        <w:tc>
          <w:tcPr>
            <w:tcW w:w="1276" w:type="dxa"/>
            <w:tcBorders>
              <w:top w:val="nil"/>
              <w:left w:val="nil"/>
              <w:bottom w:val="single" w:sz="4" w:space="0" w:color="auto"/>
              <w:right w:val="nil"/>
            </w:tcBorders>
            <w:shd w:val="clear" w:color="auto" w:fill="auto"/>
            <w:noWrap/>
            <w:vAlign w:val="bottom"/>
            <w:hideMark/>
          </w:tcPr>
          <w:p w14:paraId="04D88995" w14:textId="4143DA63"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3.536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222C5F1" w14:textId="635BD650"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3.161</w:t>
            </w:r>
          </w:p>
        </w:tc>
        <w:tc>
          <w:tcPr>
            <w:tcW w:w="1559" w:type="dxa"/>
            <w:tcBorders>
              <w:top w:val="nil"/>
              <w:left w:val="nil"/>
              <w:bottom w:val="single" w:sz="4" w:space="0" w:color="auto"/>
              <w:right w:val="single" w:sz="4" w:space="0" w:color="auto"/>
            </w:tcBorders>
            <w:shd w:val="clear" w:color="auto" w:fill="auto"/>
            <w:noWrap/>
            <w:vAlign w:val="bottom"/>
            <w:hideMark/>
          </w:tcPr>
          <w:p w14:paraId="0B10537E" w14:textId="77777777" w:rsidR="00B75C24" w:rsidRPr="001B18A7" w:rsidRDefault="00B75C24" w:rsidP="00691F6F">
            <w:pPr>
              <w:tabs>
                <w:tab w:val="left" w:pos="567"/>
              </w:tabs>
              <w:spacing w:after="0"/>
              <w:ind w:right="175"/>
              <w:jc w:val="right"/>
              <w:rPr>
                <w:rFonts w:eastAsia="Times New Roman" w:cs="Arial"/>
                <w:sz w:val="22"/>
                <w:szCs w:val="22"/>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0C5FD14F" w14:textId="2C932FFF"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0.375 </w:t>
            </w:r>
          </w:p>
        </w:tc>
        <w:tc>
          <w:tcPr>
            <w:tcW w:w="1275" w:type="dxa"/>
            <w:tcBorders>
              <w:top w:val="nil"/>
              <w:left w:val="nil"/>
              <w:bottom w:val="single" w:sz="4" w:space="0" w:color="auto"/>
              <w:right w:val="single" w:sz="4" w:space="0" w:color="auto"/>
            </w:tcBorders>
            <w:shd w:val="clear" w:color="auto" w:fill="auto"/>
            <w:noWrap/>
            <w:vAlign w:val="bottom"/>
            <w:hideMark/>
          </w:tcPr>
          <w:p w14:paraId="52ED8793" w14:textId="77777777" w:rsidR="00B75C24" w:rsidRPr="001B18A7" w:rsidRDefault="00B75C24" w:rsidP="00691F6F">
            <w:pPr>
              <w:spacing w:after="0"/>
              <w:ind w:right="176"/>
              <w:jc w:val="right"/>
              <w:rPr>
                <w:rFonts w:eastAsia="Times New Roman" w:cs="Arial"/>
                <w:sz w:val="22"/>
                <w:szCs w:val="22"/>
                <w:lang w:eastAsia="en-GB"/>
              </w:rPr>
            </w:pPr>
            <w:r w:rsidRPr="001B18A7">
              <w:rPr>
                <w:rFonts w:eastAsia="Times New Roman" w:cs="Arial"/>
                <w:sz w:val="22"/>
                <w:szCs w:val="22"/>
                <w:lang w:eastAsia="en-GB"/>
              </w:rPr>
              <w:t> </w:t>
            </w:r>
          </w:p>
        </w:tc>
      </w:tr>
      <w:tr w:rsidR="001B18A7" w:rsidRPr="00211559" w14:paraId="0E14CD6A" w14:textId="77777777" w:rsidTr="001B1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74A2108" w14:textId="77777777" w:rsidR="00B75C24" w:rsidRPr="001B18A7" w:rsidRDefault="00B75C24" w:rsidP="00691F6F">
            <w:pPr>
              <w:tabs>
                <w:tab w:val="left" w:pos="567"/>
              </w:tabs>
              <w:spacing w:after="0"/>
              <w:ind w:right="176"/>
              <w:rPr>
                <w:rFonts w:eastAsia="Times New Roman" w:cs="Arial"/>
                <w:sz w:val="22"/>
                <w:szCs w:val="22"/>
                <w:lang w:eastAsia="en-GB"/>
              </w:rPr>
            </w:pPr>
            <w:r w:rsidRPr="001B18A7">
              <w:rPr>
                <w:rFonts w:eastAsia="Times New Roman" w:cs="Arial"/>
                <w:sz w:val="22"/>
                <w:szCs w:val="22"/>
                <w:lang w:eastAsia="en-GB"/>
              </w:rPr>
              <w:t>Adults Social Care</w:t>
            </w:r>
          </w:p>
        </w:tc>
        <w:tc>
          <w:tcPr>
            <w:tcW w:w="1276" w:type="dxa"/>
            <w:tcBorders>
              <w:top w:val="nil"/>
              <w:left w:val="nil"/>
              <w:bottom w:val="single" w:sz="4" w:space="0" w:color="auto"/>
              <w:right w:val="nil"/>
            </w:tcBorders>
            <w:shd w:val="clear" w:color="auto" w:fill="auto"/>
            <w:noWrap/>
            <w:vAlign w:val="bottom"/>
            <w:hideMark/>
          </w:tcPr>
          <w:p w14:paraId="51E225EB" w14:textId="0B559A0E" w:rsidR="00B75C24" w:rsidRPr="001B18A7" w:rsidRDefault="00691F6F" w:rsidP="00691F6F">
            <w:pPr>
              <w:tabs>
                <w:tab w:val="left" w:pos="176"/>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1.301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D5856E" w14:textId="220B9A4D"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0.007</w:t>
            </w:r>
          </w:p>
        </w:tc>
        <w:tc>
          <w:tcPr>
            <w:tcW w:w="1559" w:type="dxa"/>
            <w:tcBorders>
              <w:top w:val="nil"/>
              <w:left w:val="nil"/>
              <w:bottom w:val="single" w:sz="4" w:space="0" w:color="auto"/>
              <w:right w:val="single" w:sz="4" w:space="0" w:color="auto"/>
            </w:tcBorders>
            <w:shd w:val="clear" w:color="auto" w:fill="auto"/>
            <w:noWrap/>
            <w:vAlign w:val="bottom"/>
            <w:hideMark/>
          </w:tcPr>
          <w:p w14:paraId="796CBDBA" w14:textId="77777777" w:rsidR="00B75C24" w:rsidRPr="001B18A7" w:rsidRDefault="00B75C24" w:rsidP="00691F6F">
            <w:pPr>
              <w:tabs>
                <w:tab w:val="left" w:pos="567"/>
              </w:tabs>
              <w:spacing w:after="0"/>
              <w:ind w:right="175"/>
              <w:jc w:val="right"/>
              <w:rPr>
                <w:rFonts w:eastAsia="Times New Roman" w:cs="Arial"/>
                <w:sz w:val="22"/>
                <w:szCs w:val="22"/>
                <w:lang w:eastAsia="en-GB"/>
              </w:rPr>
            </w:pPr>
            <w:r w:rsidRPr="001B18A7">
              <w:rPr>
                <w:rFonts w:eastAsia="Times New Roman" w:cs="Arial"/>
                <w:sz w:val="22"/>
                <w:szCs w:val="22"/>
                <w:lang w:eastAsia="en-GB"/>
              </w:rPr>
              <w:t>0.134</w:t>
            </w:r>
          </w:p>
        </w:tc>
        <w:tc>
          <w:tcPr>
            <w:tcW w:w="1276" w:type="dxa"/>
            <w:tcBorders>
              <w:top w:val="nil"/>
              <w:left w:val="nil"/>
              <w:bottom w:val="single" w:sz="4" w:space="0" w:color="auto"/>
              <w:right w:val="single" w:sz="4" w:space="0" w:color="auto"/>
            </w:tcBorders>
            <w:shd w:val="clear" w:color="auto" w:fill="auto"/>
            <w:noWrap/>
            <w:vAlign w:val="bottom"/>
            <w:hideMark/>
          </w:tcPr>
          <w:p w14:paraId="5BB770A5" w14:textId="4A7A1A90"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1.428 </w:t>
            </w:r>
          </w:p>
        </w:tc>
        <w:tc>
          <w:tcPr>
            <w:tcW w:w="1275" w:type="dxa"/>
            <w:tcBorders>
              <w:top w:val="nil"/>
              <w:left w:val="nil"/>
              <w:bottom w:val="single" w:sz="4" w:space="0" w:color="auto"/>
              <w:right w:val="single" w:sz="4" w:space="0" w:color="auto"/>
            </w:tcBorders>
            <w:shd w:val="clear" w:color="auto" w:fill="auto"/>
            <w:noWrap/>
            <w:vAlign w:val="bottom"/>
            <w:hideMark/>
          </w:tcPr>
          <w:p w14:paraId="27694F52" w14:textId="77777777" w:rsidR="00B75C24" w:rsidRPr="001B18A7" w:rsidRDefault="00B75C24" w:rsidP="00691F6F">
            <w:pPr>
              <w:spacing w:after="0"/>
              <w:ind w:right="176"/>
              <w:jc w:val="right"/>
              <w:rPr>
                <w:rFonts w:eastAsia="Times New Roman" w:cs="Arial"/>
                <w:sz w:val="22"/>
                <w:szCs w:val="22"/>
                <w:lang w:eastAsia="en-GB"/>
              </w:rPr>
            </w:pPr>
            <w:r w:rsidRPr="001B18A7">
              <w:rPr>
                <w:rFonts w:eastAsia="Times New Roman" w:cs="Arial"/>
                <w:sz w:val="22"/>
                <w:szCs w:val="22"/>
                <w:lang w:eastAsia="en-GB"/>
              </w:rPr>
              <w:t> </w:t>
            </w:r>
          </w:p>
        </w:tc>
      </w:tr>
      <w:tr w:rsidR="001B18A7" w:rsidRPr="00211559" w14:paraId="78D96211" w14:textId="77777777" w:rsidTr="001B1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F192011" w14:textId="77777777" w:rsidR="00B75C24" w:rsidRPr="001B18A7" w:rsidRDefault="00B75C24" w:rsidP="00691F6F">
            <w:pPr>
              <w:tabs>
                <w:tab w:val="left" w:pos="567"/>
              </w:tabs>
              <w:spacing w:after="0"/>
              <w:ind w:right="176"/>
              <w:rPr>
                <w:rFonts w:eastAsia="Times New Roman" w:cs="Arial"/>
                <w:sz w:val="22"/>
                <w:szCs w:val="22"/>
                <w:lang w:eastAsia="en-GB"/>
              </w:rPr>
            </w:pPr>
            <w:r w:rsidRPr="001B18A7">
              <w:rPr>
                <w:rFonts w:eastAsia="Times New Roman" w:cs="Arial"/>
                <w:sz w:val="22"/>
                <w:szCs w:val="22"/>
                <w:lang w:eastAsia="en-GB"/>
              </w:rPr>
              <w:t xml:space="preserve">Corporate </w:t>
            </w:r>
          </w:p>
        </w:tc>
        <w:tc>
          <w:tcPr>
            <w:tcW w:w="1276" w:type="dxa"/>
            <w:tcBorders>
              <w:top w:val="nil"/>
              <w:left w:val="nil"/>
              <w:bottom w:val="single" w:sz="4" w:space="0" w:color="auto"/>
              <w:right w:val="nil"/>
            </w:tcBorders>
            <w:shd w:val="clear" w:color="auto" w:fill="auto"/>
            <w:noWrap/>
            <w:vAlign w:val="bottom"/>
            <w:hideMark/>
          </w:tcPr>
          <w:p w14:paraId="11F00DBC" w14:textId="230B30F5"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5.553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14BABCE" w14:textId="77777777" w:rsidR="00B75C24" w:rsidRPr="001B18A7" w:rsidRDefault="00B75C24" w:rsidP="00691F6F">
            <w:pPr>
              <w:tabs>
                <w:tab w:val="left" w:pos="567"/>
              </w:tabs>
              <w:spacing w:after="0"/>
              <w:ind w:right="176"/>
              <w:jc w:val="right"/>
              <w:rPr>
                <w:rFonts w:eastAsia="Times New Roman" w:cs="Arial"/>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0F0AD4C2" w14:textId="77777777" w:rsidR="00B75C24" w:rsidRPr="001B18A7" w:rsidRDefault="00B75C24" w:rsidP="00691F6F">
            <w:pPr>
              <w:tabs>
                <w:tab w:val="left" w:pos="567"/>
              </w:tabs>
              <w:spacing w:after="0"/>
              <w:ind w:right="175"/>
              <w:jc w:val="right"/>
              <w:rPr>
                <w:rFonts w:eastAsia="Times New Roman" w:cs="Arial"/>
                <w:sz w:val="22"/>
                <w:szCs w:val="22"/>
                <w:lang w:eastAsia="en-GB"/>
              </w:rPr>
            </w:pPr>
            <w:r w:rsidRPr="001B18A7">
              <w:rPr>
                <w:rFonts w:eastAsia="Times New Roman" w:cs="Arial"/>
                <w:sz w:val="22"/>
                <w:szCs w:val="22"/>
                <w:lang w:eastAsia="en-GB"/>
              </w:rPr>
              <w:t>2.250</w:t>
            </w:r>
          </w:p>
        </w:tc>
        <w:tc>
          <w:tcPr>
            <w:tcW w:w="1276" w:type="dxa"/>
            <w:tcBorders>
              <w:top w:val="nil"/>
              <w:left w:val="nil"/>
              <w:bottom w:val="single" w:sz="4" w:space="0" w:color="auto"/>
              <w:right w:val="single" w:sz="4" w:space="0" w:color="auto"/>
            </w:tcBorders>
            <w:shd w:val="clear" w:color="auto" w:fill="auto"/>
            <w:noWrap/>
            <w:vAlign w:val="bottom"/>
            <w:hideMark/>
          </w:tcPr>
          <w:p w14:paraId="2D90BE91" w14:textId="179D0DFB"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7.803 </w:t>
            </w:r>
          </w:p>
        </w:tc>
        <w:tc>
          <w:tcPr>
            <w:tcW w:w="1275" w:type="dxa"/>
            <w:tcBorders>
              <w:top w:val="nil"/>
              <w:left w:val="nil"/>
              <w:bottom w:val="single" w:sz="4" w:space="0" w:color="auto"/>
              <w:right w:val="single" w:sz="4" w:space="0" w:color="auto"/>
            </w:tcBorders>
            <w:shd w:val="clear" w:color="auto" w:fill="auto"/>
            <w:noWrap/>
            <w:vAlign w:val="bottom"/>
            <w:hideMark/>
          </w:tcPr>
          <w:p w14:paraId="24EB7AF9" w14:textId="77777777" w:rsidR="00B75C24" w:rsidRPr="001B18A7" w:rsidRDefault="00B75C24" w:rsidP="00691F6F">
            <w:pPr>
              <w:spacing w:after="0"/>
              <w:ind w:right="176"/>
              <w:jc w:val="right"/>
              <w:rPr>
                <w:rFonts w:eastAsia="Times New Roman" w:cs="Arial"/>
                <w:sz w:val="22"/>
                <w:szCs w:val="22"/>
                <w:lang w:eastAsia="en-GB"/>
              </w:rPr>
            </w:pPr>
            <w:r w:rsidRPr="001B18A7">
              <w:rPr>
                <w:rFonts w:eastAsia="Times New Roman" w:cs="Arial"/>
                <w:sz w:val="22"/>
                <w:szCs w:val="22"/>
                <w:lang w:eastAsia="en-GB"/>
              </w:rPr>
              <w:t> </w:t>
            </w:r>
          </w:p>
        </w:tc>
      </w:tr>
      <w:tr w:rsidR="001B18A7" w:rsidRPr="00211559" w14:paraId="13B4688F" w14:textId="77777777" w:rsidTr="001B1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6942E8C" w14:textId="77777777" w:rsidR="00B75C24" w:rsidRPr="001B18A7" w:rsidRDefault="00B75C24" w:rsidP="00691F6F">
            <w:pPr>
              <w:tabs>
                <w:tab w:val="left" w:pos="567"/>
              </w:tabs>
              <w:spacing w:after="0"/>
              <w:ind w:right="176"/>
              <w:rPr>
                <w:rFonts w:eastAsia="Times New Roman" w:cs="Arial"/>
                <w:sz w:val="22"/>
                <w:szCs w:val="22"/>
                <w:lang w:eastAsia="en-GB"/>
              </w:rPr>
            </w:pPr>
            <w:r w:rsidRPr="001B18A7">
              <w:rPr>
                <w:rFonts w:eastAsia="Times New Roman" w:cs="Arial"/>
                <w:sz w:val="22"/>
                <w:szCs w:val="22"/>
                <w:lang w:eastAsia="en-GB"/>
              </w:rPr>
              <w:t>Vehicles</w:t>
            </w:r>
          </w:p>
        </w:tc>
        <w:tc>
          <w:tcPr>
            <w:tcW w:w="1276" w:type="dxa"/>
            <w:tcBorders>
              <w:top w:val="nil"/>
              <w:left w:val="nil"/>
              <w:bottom w:val="single" w:sz="4" w:space="0" w:color="auto"/>
              <w:right w:val="nil"/>
            </w:tcBorders>
            <w:shd w:val="clear" w:color="auto" w:fill="auto"/>
            <w:noWrap/>
            <w:vAlign w:val="bottom"/>
            <w:hideMark/>
          </w:tcPr>
          <w:p w14:paraId="3DCA7AD0" w14:textId="7F61EF28" w:rsidR="00B75C24" w:rsidRPr="001B18A7" w:rsidRDefault="00B75C24"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 xml:space="preserve">0.270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D6621E" w14:textId="77777777" w:rsidR="00B75C24" w:rsidRPr="001B18A7" w:rsidRDefault="00B75C24" w:rsidP="00691F6F">
            <w:pPr>
              <w:tabs>
                <w:tab w:val="left" w:pos="567"/>
              </w:tabs>
              <w:spacing w:after="0"/>
              <w:ind w:right="176"/>
              <w:jc w:val="right"/>
              <w:rPr>
                <w:rFonts w:eastAsia="Times New Roman" w:cs="Arial"/>
                <w:sz w:val="22"/>
                <w:szCs w:val="22"/>
                <w:lang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0A7EE99A" w14:textId="77777777" w:rsidR="00B75C24" w:rsidRPr="001B18A7" w:rsidRDefault="00B75C24" w:rsidP="00691F6F">
            <w:pPr>
              <w:tabs>
                <w:tab w:val="left" w:pos="567"/>
              </w:tabs>
              <w:spacing w:after="0"/>
              <w:ind w:right="175"/>
              <w:jc w:val="right"/>
              <w:rPr>
                <w:rFonts w:eastAsia="Times New Roman" w:cs="Arial"/>
                <w:sz w:val="22"/>
                <w:szCs w:val="22"/>
                <w:lang w:eastAsia="en-GB"/>
              </w:rPr>
            </w:pPr>
            <w:r w:rsidRPr="001B18A7">
              <w:rPr>
                <w:rFonts w:eastAsia="Times New Roman" w:cs="Arial"/>
                <w:sz w:val="22"/>
                <w:szCs w:val="22"/>
                <w:lang w:eastAsia="en-GB"/>
              </w:rPr>
              <w:t>0.570</w:t>
            </w:r>
          </w:p>
        </w:tc>
        <w:tc>
          <w:tcPr>
            <w:tcW w:w="1276" w:type="dxa"/>
            <w:tcBorders>
              <w:top w:val="nil"/>
              <w:left w:val="nil"/>
              <w:bottom w:val="single" w:sz="4" w:space="0" w:color="auto"/>
              <w:right w:val="single" w:sz="4" w:space="0" w:color="auto"/>
            </w:tcBorders>
            <w:shd w:val="clear" w:color="auto" w:fill="auto"/>
            <w:noWrap/>
            <w:vAlign w:val="bottom"/>
            <w:hideMark/>
          </w:tcPr>
          <w:p w14:paraId="41D45E1C" w14:textId="26A80DE0" w:rsidR="00B75C24" w:rsidRPr="001B18A7" w:rsidRDefault="00691F6F" w:rsidP="00691F6F">
            <w:pPr>
              <w:tabs>
                <w:tab w:val="left" w:pos="567"/>
              </w:tabs>
              <w:spacing w:after="0"/>
              <w:ind w:right="176"/>
              <w:jc w:val="right"/>
              <w:rPr>
                <w:rFonts w:eastAsia="Times New Roman" w:cs="Arial"/>
                <w:sz w:val="22"/>
                <w:szCs w:val="22"/>
                <w:lang w:eastAsia="en-GB"/>
              </w:rPr>
            </w:pPr>
            <w:r w:rsidRPr="001B18A7">
              <w:rPr>
                <w:rFonts w:eastAsia="Times New Roman" w:cs="Arial"/>
                <w:sz w:val="22"/>
                <w:szCs w:val="22"/>
                <w:lang w:eastAsia="en-GB"/>
              </w:rPr>
              <w:t>-</w:t>
            </w:r>
            <w:r w:rsidR="00B75C24" w:rsidRPr="001B18A7">
              <w:rPr>
                <w:rFonts w:eastAsia="Times New Roman" w:cs="Arial"/>
                <w:sz w:val="22"/>
                <w:szCs w:val="22"/>
                <w:lang w:eastAsia="en-GB"/>
              </w:rPr>
              <w:t xml:space="preserve">0.300 </w:t>
            </w:r>
          </w:p>
        </w:tc>
        <w:tc>
          <w:tcPr>
            <w:tcW w:w="1275" w:type="dxa"/>
            <w:tcBorders>
              <w:top w:val="nil"/>
              <w:left w:val="nil"/>
              <w:bottom w:val="single" w:sz="4" w:space="0" w:color="auto"/>
              <w:right w:val="single" w:sz="4" w:space="0" w:color="auto"/>
            </w:tcBorders>
            <w:shd w:val="clear" w:color="auto" w:fill="auto"/>
            <w:noWrap/>
            <w:vAlign w:val="bottom"/>
            <w:hideMark/>
          </w:tcPr>
          <w:p w14:paraId="0B2B359C" w14:textId="77777777" w:rsidR="00B75C24" w:rsidRPr="001B18A7" w:rsidRDefault="00B75C24" w:rsidP="00691F6F">
            <w:pPr>
              <w:spacing w:after="0"/>
              <w:ind w:right="176"/>
              <w:jc w:val="right"/>
              <w:rPr>
                <w:rFonts w:eastAsia="Times New Roman" w:cs="Arial"/>
                <w:sz w:val="22"/>
                <w:szCs w:val="22"/>
                <w:lang w:eastAsia="en-GB"/>
              </w:rPr>
            </w:pPr>
            <w:r w:rsidRPr="001B18A7">
              <w:rPr>
                <w:rFonts w:eastAsia="Times New Roman" w:cs="Arial"/>
                <w:sz w:val="22"/>
                <w:szCs w:val="22"/>
                <w:lang w:eastAsia="en-GB"/>
              </w:rPr>
              <w:t> </w:t>
            </w:r>
          </w:p>
        </w:tc>
      </w:tr>
      <w:tr w:rsidR="001B18A7" w:rsidRPr="00211559" w14:paraId="37DDD69C" w14:textId="77777777" w:rsidTr="001B18A7">
        <w:trPr>
          <w:trHeight w:val="30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B1BE2FC" w14:textId="77777777" w:rsidR="00B75C24" w:rsidRPr="001B18A7" w:rsidRDefault="00B75C24" w:rsidP="00691F6F">
            <w:pPr>
              <w:tabs>
                <w:tab w:val="left" w:pos="567"/>
              </w:tabs>
              <w:spacing w:after="0"/>
              <w:ind w:right="176"/>
              <w:rPr>
                <w:rFonts w:eastAsia="Times New Roman" w:cs="Arial"/>
                <w:b/>
                <w:bCs/>
                <w:sz w:val="22"/>
                <w:szCs w:val="22"/>
                <w:lang w:eastAsia="en-GB"/>
              </w:rPr>
            </w:pPr>
            <w:r w:rsidRPr="001B18A7">
              <w:rPr>
                <w:rFonts w:eastAsia="Times New Roman" w:cs="Arial"/>
                <w:b/>
                <w:bCs/>
                <w:sz w:val="22"/>
                <w:szCs w:val="22"/>
                <w:lang w:eastAsia="en-GB"/>
              </w:rPr>
              <w:t>Totals</w:t>
            </w:r>
          </w:p>
        </w:tc>
        <w:tc>
          <w:tcPr>
            <w:tcW w:w="1276" w:type="dxa"/>
            <w:tcBorders>
              <w:top w:val="nil"/>
              <w:left w:val="nil"/>
              <w:bottom w:val="single" w:sz="4" w:space="0" w:color="auto"/>
              <w:right w:val="nil"/>
            </w:tcBorders>
            <w:shd w:val="clear" w:color="auto" w:fill="auto"/>
            <w:noWrap/>
            <w:vAlign w:val="bottom"/>
            <w:hideMark/>
          </w:tcPr>
          <w:p w14:paraId="47DF9764" w14:textId="64A5106B" w:rsidR="00B75C24" w:rsidRPr="001B18A7" w:rsidRDefault="00691F6F" w:rsidP="00691F6F">
            <w:pPr>
              <w:tabs>
                <w:tab w:val="left" w:pos="567"/>
              </w:tabs>
              <w:spacing w:after="0"/>
              <w:ind w:right="176"/>
              <w:jc w:val="right"/>
              <w:rPr>
                <w:rFonts w:eastAsia="Times New Roman" w:cs="Arial"/>
                <w:b/>
                <w:sz w:val="22"/>
                <w:szCs w:val="22"/>
                <w:lang w:eastAsia="en-GB"/>
              </w:rPr>
            </w:pPr>
            <w:r w:rsidRPr="001B18A7">
              <w:rPr>
                <w:rFonts w:eastAsia="Times New Roman" w:cs="Arial"/>
                <w:b/>
                <w:sz w:val="22"/>
                <w:szCs w:val="22"/>
                <w:lang w:eastAsia="en-GB"/>
              </w:rPr>
              <w:t>-</w:t>
            </w:r>
            <w:r w:rsidR="00B75C24" w:rsidRPr="001B18A7">
              <w:rPr>
                <w:rFonts w:eastAsia="Times New Roman" w:cs="Arial"/>
                <w:b/>
                <w:sz w:val="22"/>
                <w:szCs w:val="22"/>
                <w:lang w:eastAsia="en-GB"/>
              </w:rPr>
              <w:t xml:space="preserve">16.341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BFB9DB" w14:textId="401565F0" w:rsidR="00B75C24" w:rsidRPr="001B18A7" w:rsidRDefault="00691F6F" w:rsidP="00691F6F">
            <w:pPr>
              <w:tabs>
                <w:tab w:val="left" w:pos="567"/>
              </w:tabs>
              <w:spacing w:after="0"/>
              <w:ind w:right="176"/>
              <w:jc w:val="right"/>
              <w:rPr>
                <w:rFonts w:eastAsia="Times New Roman" w:cs="Arial"/>
                <w:b/>
                <w:sz w:val="22"/>
                <w:szCs w:val="22"/>
                <w:lang w:eastAsia="en-GB"/>
              </w:rPr>
            </w:pPr>
            <w:r w:rsidRPr="001B18A7">
              <w:rPr>
                <w:rFonts w:eastAsia="Times New Roman" w:cs="Arial"/>
                <w:b/>
                <w:sz w:val="22"/>
                <w:szCs w:val="22"/>
                <w:lang w:eastAsia="en-GB"/>
              </w:rPr>
              <w:t>-</w:t>
            </w:r>
            <w:r w:rsidR="00B75C24" w:rsidRPr="001B18A7">
              <w:rPr>
                <w:rFonts w:eastAsia="Times New Roman" w:cs="Arial"/>
                <w:b/>
                <w:sz w:val="22"/>
                <w:szCs w:val="22"/>
                <w:lang w:eastAsia="en-GB"/>
              </w:rPr>
              <w:t>5.762</w:t>
            </w:r>
          </w:p>
        </w:tc>
        <w:tc>
          <w:tcPr>
            <w:tcW w:w="1559" w:type="dxa"/>
            <w:tcBorders>
              <w:top w:val="nil"/>
              <w:left w:val="nil"/>
              <w:bottom w:val="single" w:sz="4" w:space="0" w:color="auto"/>
              <w:right w:val="single" w:sz="4" w:space="0" w:color="auto"/>
            </w:tcBorders>
            <w:shd w:val="clear" w:color="auto" w:fill="auto"/>
            <w:noWrap/>
            <w:vAlign w:val="bottom"/>
            <w:hideMark/>
          </w:tcPr>
          <w:p w14:paraId="414A014B" w14:textId="77777777" w:rsidR="00B75C24" w:rsidRPr="001B18A7" w:rsidRDefault="00B75C24" w:rsidP="00691F6F">
            <w:pPr>
              <w:tabs>
                <w:tab w:val="left" w:pos="567"/>
              </w:tabs>
              <w:spacing w:after="0"/>
              <w:ind w:right="175"/>
              <w:jc w:val="right"/>
              <w:rPr>
                <w:rFonts w:eastAsia="Times New Roman" w:cs="Arial"/>
                <w:b/>
                <w:sz w:val="22"/>
                <w:szCs w:val="22"/>
                <w:lang w:eastAsia="en-GB"/>
              </w:rPr>
            </w:pPr>
            <w:r w:rsidRPr="001B18A7">
              <w:rPr>
                <w:rFonts w:eastAsia="Times New Roman" w:cs="Arial"/>
                <w:b/>
                <w:sz w:val="22"/>
                <w:szCs w:val="22"/>
                <w:lang w:eastAsia="en-GB"/>
              </w:rPr>
              <w:t>6.141</w:t>
            </w:r>
          </w:p>
        </w:tc>
        <w:tc>
          <w:tcPr>
            <w:tcW w:w="1276" w:type="dxa"/>
            <w:tcBorders>
              <w:top w:val="nil"/>
              <w:left w:val="nil"/>
              <w:bottom w:val="single" w:sz="4" w:space="0" w:color="auto"/>
              <w:right w:val="single" w:sz="4" w:space="0" w:color="auto"/>
            </w:tcBorders>
            <w:shd w:val="clear" w:color="auto" w:fill="auto"/>
            <w:noWrap/>
            <w:vAlign w:val="bottom"/>
            <w:hideMark/>
          </w:tcPr>
          <w:p w14:paraId="4F2061F4" w14:textId="7AE6C01A" w:rsidR="00B75C24" w:rsidRPr="001B18A7" w:rsidRDefault="00691F6F" w:rsidP="00691F6F">
            <w:pPr>
              <w:tabs>
                <w:tab w:val="left" w:pos="567"/>
              </w:tabs>
              <w:spacing w:after="0"/>
              <w:ind w:right="176"/>
              <w:jc w:val="right"/>
              <w:rPr>
                <w:rFonts w:eastAsia="Times New Roman" w:cs="Arial"/>
                <w:b/>
                <w:sz w:val="22"/>
                <w:szCs w:val="22"/>
                <w:lang w:eastAsia="en-GB"/>
              </w:rPr>
            </w:pPr>
            <w:r w:rsidRPr="001B18A7">
              <w:rPr>
                <w:rFonts w:eastAsia="Times New Roman" w:cs="Arial"/>
                <w:b/>
                <w:sz w:val="22"/>
                <w:szCs w:val="22"/>
                <w:lang w:eastAsia="en-GB"/>
              </w:rPr>
              <w:t>-</w:t>
            </w:r>
            <w:r w:rsidR="00B75C24" w:rsidRPr="001B18A7">
              <w:rPr>
                <w:rFonts w:eastAsia="Times New Roman" w:cs="Arial"/>
                <w:b/>
                <w:sz w:val="22"/>
                <w:szCs w:val="22"/>
                <w:lang w:eastAsia="en-GB"/>
              </w:rPr>
              <w:t xml:space="preserve">30.177 </w:t>
            </w:r>
          </w:p>
        </w:tc>
        <w:tc>
          <w:tcPr>
            <w:tcW w:w="1275" w:type="dxa"/>
            <w:tcBorders>
              <w:top w:val="nil"/>
              <w:left w:val="nil"/>
              <w:bottom w:val="single" w:sz="4" w:space="0" w:color="auto"/>
              <w:right w:val="single" w:sz="4" w:space="0" w:color="auto"/>
            </w:tcBorders>
            <w:shd w:val="clear" w:color="auto" w:fill="auto"/>
            <w:noWrap/>
            <w:vAlign w:val="bottom"/>
            <w:hideMark/>
          </w:tcPr>
          <w:p w14:paraId="285AA0F6" w14:textId="24042FE1" w:rsidR="00B75C24" w:rsidRPr="001B18A7" w:rsidRDefault="00B75C24" w:rsidP="00691F6F">
            <w:pPr>
              <w:spacing w:after="0"/>
              <w:ind w:right="176"/>
              <w:jc w:val="right"/>
              <w:rPr>
                <w:rFonts w:eastAsia="Times New Roman" w:cs="Arial"/>
                <w:b/>
                <w:sz w:val="22"/>
                <w:szCs w:val="22"/>
                <w:lang w:eastAsia="en-GB"/>
              </w:rPr>
            </w:pPr>
            <w:r w:rsidRPr="001B18A7">
              <w:rPr>
                <w:rFonts w:eastAsia="Times New Roman" w:cs="Arial"/>
                <w:b/>
                <w:sz w:val="22"/>
                <w:szCs w:val="22"/>
                <w:lang w:eastAsia="en-GB"/>
              </w:rPr>
              <w:t>13.457</w:t>
            </w:r>
          </w:p>
        </w:tc>
      </w:tr>
    </w:tbl>
    <w:p w14:paraId="547EDEF6" w14:textId="77777777" w:rsidR="00B75C24" w:rsidRPr="00211559" w:rsidRDefault="00B75C24" w:rsidP="00B75C24">
      <w:pPr>
        <w:tabs>
          <w:tab w:val="left" w:pos="567"/>
        </w:tabs>
        <w:spacing w:after="0"/>
        <w:ind w:right="-613"/>
        <w:rPr>
          <w:rFonts w:cs="Arial"/>
          <w:lang w:eastAsia="en-GB"/>
        </w:rPr>
      </w:pPr>
    </w:p>
    <w:p w14:paraId="223C575D" w14:textId="77777777" w:rsidR="00B75C24" w:rsidRPr="008925CE" w:rsidRDefault="00B75C24" w:rsidP="00B75C24">
      <w:pPr>
        <w:tabs>
          <w:tab w:val="left" w:pos="567"/>
        </w:tabs>
        <w:spacing w:after="0"/>
        <w:ind w:right="-613"/>
        <w:rPr>
          <w:rFonts w:cs="Arial"/>
          <w:b/>
          <w:lang w:eastAsia="en-GB"/>
        </w:rPr>
      </w:pPr>
      <w:r w:rsidRPr="008925CE">
        <w:rPr>
          <w:rFonts w:cs="Arial"/>
          <w:b/>
          <w:lang w:eastAsia="en-GB"/>
        </w:rPr>
        <w:t>1.3</w:t>
      </w:r>
      <w:r>
        <w:rPr>
          <w:rFonts w:cs="Arial"/>
          <w:b/>
          <w:lang w:eastAsia="en-GB"/>
        </w:rPr>
        <w:tab/>
      </w:r>
      <w:r w:rsidRPr="008925CE">
        <w:rPr>
          <w:rFonts w:cs="Arial"/>
          <w:b/>
          <w:lang w:eastAsia="en-GB"/>
        </w:rPr>
        <w:t>Capital Outturn Variance Analysis detail - narrative for each block for 2017/18</w:t>
      </w:r>
      <w:r>
        <w:rPr>
          <w:rFonts w:cs="Arial"/>
          <w:b/>
          <w:lang w:eastAsia="en-GB"/>
        </w:rPr>
        <w:br/>
      </w:r>
      <w:r>
        <w:rPr>
          <w:rFonts w:cs="Arial"/>
          <w:b/>
          <w:lang w:eastAsia="en-GB"/>
        </w:rPr>
        <w:tab/>
      </w:r>
      <w:r w:rsidRPr="008925CE">
        <w:rPr>
          <w:rFonts w:cs="Arial"/>
          <w:b/>
          <w:lang w:eastAsia="en-GB"/>
        </w:rPr>
        <w:t>Delivery Programme</w:t>
      </w:r>
    </w:p>
    <w:p w14:paraId="7FF05602" w14:textId="77777777" w:rsidR="00B75C24" w:rsidRDefault="00B75C24" w:rsidP="00B75C24">
      <w:pPr>
        <w:tabs>
          <w:tab w:val="left" w:pos="567"/>
        </w:tabs>
        <w:spacing w:after="0"/>
        <w:ind w:right="-613"/>
        <w:rPr>
          <w:rFonts w:cs="Arial"/>
          <w:b/>
        </w:rPr>
      </w:pPr>
    </w:p>
    <w:p w14:paraId="42209904" w14:textId="77777777" w:rsidR="00B75C24" w:rsidRPr="008925CE" w:rsidRDefault="00B75C24" w:rsidP="00B75C24">
      <w:pPr>
        <w:tabs>
          <w:tab w:val="left" w:pos="567"/>
        </w:tabs>
        <w:spacing w:after="0"/>
        <w:ind w:right="-613"/>
        <w:rPr>
          <w:rFonts w:cs="Arial"/>
          <w:b/>
        </w:rPr>
      </w:pPr>
      <w:r w:rsidRPr="008925CE">
        <w:rPr>
          <w:rFonts w:cs="Arial"/>
          <w:b/>
        </w:rPr>
        <w:t>Schools incl. DFC</w:t>
      </w:r>
    </w:p>
    <w:p w14:paraId="779B05E4" w14:textId="77777777" w:rsidR="00B75C24" w:rsidRDefault="00B75C24" w:rsidP="00B75C24">
      <w:pPr>
        <w:tabs>
          <w:tab w:val="left" w:pos="567"/>
        </w:tabs>
        <w:spacing w:after="0"/>
        <w:ind w:right="-613"/>
        <w:rPr>
          <w:rFonts w:cs="Arial"/>
          <w:b/>
        </w:rPr>
      </w:pPr>
    </w:p>
    <w:p w14:paraId="113DFB0F" w14:textId="77777777" w:rsidR="00B75C24" w:rsidRDefault="00B75C24" w:rsidP="00B75C24">
      <w:pPr>
        <w:tabs>
          <w:tab w:val="left" w:pos="567"/>
        </w:tabs>
        <w:spacing w:after="0"/>
        <w:ind w:right="-613"/>
        <w:rPr>
          <w:rFonts w:cs="Arial"/>
          <w:b/>
        </w:rPr>
      </w:pPr>
      <w:r w:rsidRPr="008925CE">
        <w:rPr>
          <w:rFonts w:cs="Arial"/>
          <w:b/>
        </w:rPr>
        <w:t xml:space="preserve">The current </w:t>
      </w:r>
      <w:r w:rsidRPr="008925CE">
        <w:rPr>
          <w:rFonts w:cs="Arial"/>
          <w:b/>
          <w:color w:val="000000" w:themeColor="text1"/>
        </w:rPr>
        <w:t xml:space="preserve">total forecast spend for Schools is £32.911m. </w:t>
      </w:r>
      <w:r>
        <w:rPr>
          <w:rFonts w:cs="Arial"/>
          <w:b/>
          <w:color w:val="000000" w:themeColor="text1"/>
        </w:rPr>
        <w:t xml:space="preserve"> </w:t>
      </w:r>
      <w:r w:rsidRPr="008925CE">
        <w:rPr>
          <w:rFonts w:cs="Arial"/>
          <w:b/>
          <w:color w:val="000000" w:themeColor="text1"/>
        </w:rPr>
        <w:t xml:space="preserve">This represents a net spend less than delivery programme of -£0.117m. </w:t>
      </w:r>
      <w:r>
        <w:rPr>
          <w:rFonts w:cs="Arial"/>
          <w:b/>
          <w:color w:val="000000" w:themeColor="text1"/>
        </w:rPr>
        <w:t xml:space="preserve"> </w:t>
      </w:r>
      <w:r w:rsidRPr="008925CE">
        <w:rPr>
          <w:rFonts w:cs="Arial"/>
          <w:b/>
          <w:color w:val="000000" w:themeColor="text1"/>
        </w:rPr>
        <w:t xml:space="preserve">This </w:t>
      </w:r>
      <w:r w:rsidRPr="008925CE">
        <w:rPr>
          <w:rFonts w:cs="Arial"/>
          <w:b/>
        </w:rPr>
        <w:t>can be summarised as follows:</w:t>
      </w:r>
    </w:p>
    <w:p w14:paraId="11D5326A" w14:textId="77777777" w:rsidR="00B75C24" w:rsidRPr="008925CE" w:rsidRDefault="00B75C24" w:rsidP="00B75C24">
      <w:pPr>
        <w:tabs>
          <w:tab w:val="left" w:pos="567"/>
        </w:tabs>
        <w:spacing w:after="0"/>
        <w:ind w:right="-613"/>
        <w:rPr>
          <w:rFonts w:cs="Arial"/>
          <w:b/>
        </w:rPr>
      </w:pPr>
    </w:p>
    <w:p w14:paraId="3AFBB652" w14:textId="77777777" w:rsidR="00B75C24" w:rsidRDefault="00B75C24" w:rsidP="00B75C24">
      <w:pPr>
        <w:numPr>
          <w:ilvl w:val="0"/>
          <w:numId w:val="25"/>
        </w:numPr>
        <w:tabs>
          <w:tab w:val="left" w:pos="567"/>
        </w:tabs>
        <w:autoSpaceDE/>
        <w:autoSpaceDN/>
        <w:adjustRightInd/>
        <w:spacing w:after="0"/>
        <w:ind w:left="567" w:right="-613" w:hanging="567"/>
        <w:contextualSpacing/>
        <w:rPr>
          <w:rFonts w:cs="Arial"/>
        </w:rPr>
      </w:pPr>
      <w:r w:rsidRPr="008925CE">
        <w:rPr>
          <w:rFonts w:cs="Arial"/>
        </w:rPr>
        <w:t xml:space="preserve">Slipped delivery to the </w:t>
      </w:r>
      <w:r w:rsidRPr="008925CE">
        <w:rPr>
          <w:rFonts w:cs="Arial"/>
          <w:color w:val="000000" w:themeColor="text1"/>
        </w:rPr>
        <w:t xml:space="preserve">value of </w:t>
      </w:r>
      <w:r w:rsidRPr="008925CE">
        <w:rPr>
          <w:rFonts w:cs="Arial"/>
          <w:b/>
          <w:color w:val="000000" w:themeColor="text1"/>
        </w:rPr>
        <w:t>-£0.923m</w:t>
      </w:r>
      <w:r w:rsidRPr="008925CE">
        <w:rPr>
          <w:rFonts w:cs="Arial"/>
          <w:color w:val="000000" w:themeColor="text1"/>
        </w:rPr>
        <w:t xml:space="preserve"> is </w:t>
      </w:r>
      <w:r w:rsidRPr="008925CE">
        <w:rPr>
          <w:rFonts w:cs="Arial"/>
        </w:rPr>
        <w:t xml:space="preserve">currently anticipated across the whole Schools Block. </w:t>
      </w:r>
    </w:p>
    <w:p w14:paraId="658E28E6" w14:textId="77777777" w:rsidR="00B75C24" w:rsidRPr="008925CE" w:rsidRDefault="00B75C24" w:rsidP="009D6093">
      <w:pPr>
        <w:tabs>
          <w:tab w:val="left" w:pos="567"/>
        </w:tabs>
        <w:spacing w:after="0"/>
        <w:ind w:right="-613"/>
        <w:contextualSpacing/>
        <w:rPr>
          <w:rFonts w:cs="Arial"/>
        </w:rPr>
      </w:pPr>
    </w:p>
    <w:p w14:paraId="19C3F9D7" w14:textId="77777777" w:rsidR="00B75C24" w:rsidRDefault="00B75C24" w:rsidP="00B75C24">
      <w:pPr>
        <w:numPr>
          <w:ilvl w:val="0"/>
          <w:numId w:val="25"/>
        </w:numPr>
        <w:tabs>
          <w:tab w:val="left" w:pos="567"/>
        </w:tabs>
        <w:autoSpaceDE/>
        <w:autoSpaceDN/>
        <w:adjustRightInd/>
        <w:spacing w:after="0"/>
        <w:ind w:left="567" w:right="-613" w:hanging="567"/>
        <w:contextualSpacing/>
        <w:rPr>
          <w:rFonts w:cs="Arial"/>
        </w:rPr>
      </w:pPr>
      <w:r w:rsidRPr="008925CE">
        <w:rPr>
          <w:rFonts w:cs="Arial"/>
        </w:rPr>
        <w:t xml:space="preserve">Potential over spends totalling </w:t>
      </w:r>
      <w:r w:rsidRPr="008925CE">
        <w:rPr>
          <w:rFonts w:cs="Arial"/>
          <w:b/>
        </w:rPr>
        <w:t>£0.025m</w:t>
      </w:r>
      <w:r w:rsidRPr="008925CE">
        <w:rPr>
          <w:rFonts w:cs="Arial"/>
        </w:rPr>
        <w:t xml:space="preserve"> are flagged as a risk across a small number of projects due to complete in year. </w:t>
      </w:r>
    </w:p>
    <w:p w14:paraId="0E54715E" w14:textId="77777777" w:rsidR="00B75C24" w:rsidRPr="008925CE" w:rsidRDefault="00B75C24" w:rsidP="00B75C24">
      <w:pPr>
        <w:tabs>
          <w:tab w:val="left" w:pos="567"/>
        </w:tabs>
        <w:spacing w:after="0"/>
        <w:ind w:right="-613"/>
        <w:contextualSpacing/>
        <w:rPr>
          <w:rFonts w:cs="Arial"/>
        </w:rPr>
      </w:pPr>
    </w:p>
    <w:p w14:paraId="588DE8D5" w14:textId="77777777" w:rsidR="00B75C24" w:rsidRDefault="00B75C24" w:rsidP="00B75C24">
      <w:pPr>
        <w:numPr>
          <w:ilvl w:val="0"/>
          <w:numId w:val="25"/>
        </w:numPr>
        <w:tabs>
          <w:tab w:val="left" w:pos="567"/>
        </w:tabs>
        <w:autoSpaceDE/>
        <w:autoSpaceDN/>
        <w:adjustRightInd/>
        <w:spacing w:after="0"/>
        <w:ind w:left="567" w:right="-613" w:hanging="567"/>
        <w:contextualSpacing/>
        <w:rPr>
          <w:rFonts w:cs="Arial"/>
        </w:rPr>
      </w:pPr>
      <w:r w:rsidRPr="008925CE">
        <w:rPr>
          <w:rFonts w:cs="Arial"/>
        </w:rPr>
        <w:t>Potential under spends of</w:t>
      </w:r>
      <w:r w:rsidRPr="008925CE">
        <w:rPr>
          <w:rFonts w:cs="Arial"/>
          <w:b/>
        </w:rPr>
        <w:t xml:space="preserve"> -£0.463m</w:t>
      </w:r>
      <w:r w:rsidRPr="008925CE">
        <w:rPr>
          <w:rFonts w:cs="Arial"/>
        </w:rPr>
        <w:t xml:space="preserve"> are forecast on a number of projects due to complete in year. </w:t>
      </w:r>
    </w:p>
    <w:p w14:paraId="572A0A5F" w14:textId="77777777" w:rsidR="00B75C24" w:rsidRPr="008925CE" w:rsidRDefault="00B75C24" w:rsidP="00B75C24">
      <w:pPr>
        <w:tabs>
          <w:tab w:val="left" w:pos="567"/>
        </w:tabs>
        <w:spacing w:after="0"/>
        <w:ind w:right="-613"/>
        <w:contextualSpacing/>
        <w:rPr>
          <w:rFonts w:cs="Arial"/>
        </w:rPr>
      </w:pPr>
    </w:p>
    <w:p w14:paraId="02DCB3EF" w14:textId="4100C7A1" w:rsidR="00B75C24" w:rsidRDefault="00B75C24" w:rsidP="00B75C24">
      <w:pPr>
        <w:numPr>
          <w:ilvl w:val="0"/>
          <w:numId w:val="25"/>
        </w:numPr>
        <w:tabs>
          <w:tab w:val="left" w:pos="567"/>
        </w:tabs>
        <w:autoSpaceDE/>
        <w:autoSpaceDN/>
        <w:adjustRightInd/>
        <w:spacing w:after="0"/>
        <w:ind w:left="567" w:right="-613" w:hanging="567"/>
        <w:contextualSpacing/>
        <w:rPr>
          <w:rFonts w:cs="Arial"/>
        </w:rPr>
      </w:pPr>
      <w:r w:rsidRPr="008925CE">
        <w:rPr>
          <w:rFonts w:cs="Arial"/>
        </w:rPr>
        <w:t xml:space="preserve">Advanced delivery of future years' </w:t>
      </w:r>
      <w:r>
        <w:rPr>
          <w:rFonts w:cs="Arial"/>
        </w:rPr>
        <w:t xml:space="preserve">programme </w:t>
      </w:r>
      <w:r w:rsidRPr="008925CE">
        <w:rPr>
          <w:rFonts w:cs="Arial"/>
        </w:rPr>
        <w:t xml:space="preserve">to the value of </w:t>
      </w:r>
      <w:r w:rsidRPr="008925CE">
        <w:rPr>
          <w:rFonts w:cs="Arial"/>
          <w:b/>
        </w:rPr>
        <w:t xml:space="preserve">£4.173m </w:t>
      </w:r>
      <w:r w:rsidRPr="008925CE">
        <w:rPr>
          <w:rFonts w:cs="Arial"/>
        </w:rPr>
        <w:t xml:space="preserve">is forecast in 2017/18. £2.629m of this relates to the transferral of accrued unspent Devolved Formula Capital funding balances to Community, Foundation and Voluntary Controlled schools in September 2017. </w:t>
      </w:r>
      <w:r w:rsidR="001B18A7">
        <w:rPr>
          <w:rFonts w:cs="Arial"/>
        </w:rPr>
        <w:t xml:space="preserve"> </w:t>
      </w:r>
      <w:r w:rsidRPr="008925CE">
        <w:rPr>
          <w:rFonts w:cs="Arial"/>
        </w:rPr>
        <w:t xml:space="preserve">These balances were being held by LCC and were profiled for expenditure in future years. </w:t>
      </w:r>
    </w:p>
    <w:p w14:paraId="67EF8DFF" w14:textId="77777777" w:rsidR="00B75C24" w:rsidRPr="008925CE" w:rsidRDefault="00B75C24" w:rsidP="00B75C24">
      <w:pPr>
        <w:tabs>
          <w:tab w:val="left" w:pos="567"/>
        </w:tabs>
        <w:spacing w:after="0"/>
        <w:ind w:right="-613"/>
        <w:contextualSpacing/>
        <w:rPr>
          <w:rFonts w:cs="Arial"/>
        </w:rPr>
      </w:pPr>
    </w:p>
    <w:p w14:paraId="6C2755FD" w14:textId="77777777" w:rsidR="00B75C24" w:rsidRPr="008925CE" w:rsidRDefault="00B75C24" w:rsidP="00B75C24">
      <w:pPr>
        <w:tabs>
          <w:tab w:val="left" w:pos="567"/>
        </w:tabs>
        <w:spacing w:after="0"/>
        <w:ind w:right="-613"/>
        <w:contextualSpacing/>
        <w:rPr>
          <w:rFonts w:cs="Arial"/>
        </w:rPr>
      </w:pPr>
      <w:r w:rsidRPr="008925CE">
        <w:rPr>
          <w:rFonts w:cs="Arial"/>
        </w:rPr>
        <w:t>Additionally, a total of 8 Basic Need projects are forecast to spend ahead of the phasing originally estimated at the outset of the project and are consequently forecast to incur a total of £0.958m of expenditure that was originally profiled to be spent in future years.</w:t>
      </w:r>
    </w:p>
    <w:p w14:paraId="3C1AC066" w14:textId="77777777" w:rsidR="00B75C24" w:rsidRPr="008925CE" w:rsidRDefault="00B75C24" w:rsidP="00B75C24">
      <w:pPr>
        <w:tabs>
          <w:tab w:val="left" w:pos="567"/>
        </w:tabs>
        <w:spacing w:after="0"/>
        <w:ind w:right="-613"/>
        <w:contextualSpacing/>
        <w:rPr>
          <w:rFonts w:cs="Arial"/>
        </w:rPr>
      </w:pPr>
    </w:p>
    <w:p w14:paraId="6953DBB3" w14:textId="77777777" w:rsidR="00B75C24" w:rsidRDefault="00B75C24" w:rsidP="00B75C24">
      <w:pPr>
        <w:numPr>
          <w:ilvl w:val="0"/>
          <w:numId w:val="25"/>
        </w:numPr>
        <w:tabs>
          <w:tab w:val="left" w:pos="567"/>
        </w:tabs>
        <w:autoSpaceDE/>
        <w:autoSpaceDN/>
        <w:adjustRightInd/>
        <w:spacing w:after="0"/>
        <w:ind w:left="567" w:right="-613" w:hanging="567"/>
        <w:contextualSpacing/>
        <w:rPr>
          <w:rFonts w:cs="Arial"/>
        </w:rPr>
      </w:pPr>
      <w:r w:rsidRPr="008925CE">
        <w:rPr>
          <w:rFonts w:cs="Arial"/>
        </w:rPr>
        <w:t xml:space="preserve">The Condition led programme forecasts a net expenditure less than the delivery budget of </w:t>
      </w:r>
      <w:r w:rsidRPr="008925CE">
        <w:rPr>
          <w:rFonts w:cs="Arial"/>
          <w:b/>
        </w:rPr>
        <w:t>-£5.171m</w:t>
      </w:r>
      <w:r w:rsidRPr="008925CE">
        <w:rPr>
          <w:rFonts w:cs="Arial"/>
        </w:rPr>
        <w:t xml:space="preserve"> regarding unallocated budgets.</w:t>
      </w:r>
    </w:p>
    <w:p w14:paraId="51204947" w14:textId="77777777" w:rsidR="00B75C24" w:rsidRPr="008925CE" w:rsidRDefault="00B75C24" w:rsidP="001B18A7">
      <w:pPr>
        <w:tabs>
          <w:tab w:val="left" w:pos="567"/>
        </w:tabs>
        <w:spacing w:after="0"/>
        <w:ind w:right="-613"/>
        <w:contextualSpacing/>
        <w:rPr>
          <w:rFonts w:cs="Arial"/>
        </w:rPr>
      </w:pPr>
    </w:p>
    <w:p w14:paraId="5EA80E2B" w14:textId="77777777" w:rsidR="00B75C24" w:rsidRDefault="00B75C24" w:rsidP="00B75C24">
      <w:pPr>
        <w:tabs>
          <w:tab w:val="left" w:pos="567"/>
        </w:tabs>
        <w:spacing w:after="0"/>
        <w:ind w:left="567" w:right="-613" w:hanging="567"/>
        <w:rPr>
          <w:rFonts w:cs="Arial"/>
        </w:rPr>
      </w:pPr>
      <w:r>
        <w:rPr>
          <w:rFonts w:cs="Arial"/>
        </w:rPr>
        <w:tab/>
      </w:r>
      <w:r w:rsidRPr="008925CE">
        <w:rPr>
          <w:rFonts w:cs="Arial"/>
        </w:rPr>
        <w:t>This can be further summarised as follows:</w:t>
      </w:r>
    </w:p>
    <w:p w14:paraId="70347E9B" w14:textId="77777777" w:rsidR="00B75C24" w:rsidRPr="008925CE" w:rsidRDefault="00B75C24" w:rsidP="00B75C24">
      <w:pPr>
        <w:tabs>
          <w:tab w:val="left" w:pos="567"/>
        </w:tabs>
        <w:spacing w:after="0"/>
        <w:ind w:left="567" w:right="-613" w:hanging="567"/>
        <w:rPr>
          <w:rFonts w:cs="Arial"/>
        </w:rPr>
      </w:pPr>
    </w:p>
    <w:p w14:paraId="28E9EB3C" w14:textId="77777777" w:rsidR="00B75C24" w:rsidRDefault="00B75C24" w:rsidP="00B75C24">
      <w:pPr>
        <w:numPr>
          <w:ilvl w:val="0"/>
          <w:numId w:val="32"/>
        </w:numPr>
        <w:tabs>
          <w:tab w:val="left" w:pos="1134"/>
        </w:tabs>
        <w:autoSpaceDE/>
        <w:autoSpaceDN/>
        <w:adjustRightInd/>
        <w:spacing w:after="0"/>
        <w:ind w:left="1134" w:right="-613" w:hanging="567"/>
        <w:contextualSpacing/>
        <w:rPr>
          <w:rFonts w:cs="Arial"/>
        </w:rPr>
      </w:pPr>
      <w:r w:rsidRPr="008925CE">
        <w:rPr>
          <w:rFonts w:cs="Arial"/>
        </w:rPr>
        <w:t xml:space="preserve">£0.705m variance against the approved contingency relating to the £15.9m 2017/18 start Condition Led programme which, while committed is unlikely to be spend during 2017/18.  </w:t>
      </w:r>
    </w:p>
    <w:p w14:paraId="30F21811" w14:textId="77777777" w:rsidR="00B75C24" w:rsidRPr="008925CE" w:rsidRDefault="00B75C24" w:rsidP="001B18A7">
      <w:pPr>
        <w:tabs>
          <w:tab w:val="left" w:pos="1134"/>
        </w:tabs>
        <w:spacing w:after="0"/>
        <w:ind w:right="-613"/>
        <w:contextualSpacing/>
        <w:rPr>
          <w:rFonts w:cs="Arial"/>
        </w:rPr>
      </w:pPr>
    </w:p>
    <w:p w14:paraId="529211A7" w14:textId="77777777" w:rsidR="00B75C24" w:rsidRDefault="00B75C24" w:rsidP="00B75C24">
      <w:pPr>
        <w:numPr>
          <w:ilvl w:val="0"/>
          <w:numId w:val="32"/>
        </w:numPr>
        <w:tabs>
          <w:tab w:val="left" w:pos="1134"/>
        </w:tabs>
        <w:autoSpaceDE/>
        <w:autoSpaceDN/>
        <w:adjustRightInd/>
        <w:spacing w:after="0"/>
        <w:ind w:left="1134" w:right="-613" w:hanging="567"/>
        <w:contextualSpacing/>
        <w:rPr>
          <w:rFonts w:cs="Arial"/>
        </w:rPr>
      </w:pPr>
      <w:r w:rsidRPr="008925CE">
        <w:rPr>
          <w:rFonts w:cs="Arial"/>
        </w:rPr>
        <w:t>-£5.143m of the variance refers to the re-phasing of the £15.9m 2017/18 start Condition Led programme per the Condition Capital Strategy report of 10</w:t>
      </w:r>
      <w:r w:rsidRPr="008925CE">
        <w:rPr>
          <w:rFonts w:cs="Arial"/>
          <w:vertAlign w:val="superscript"/>
        </w:rPr>
        <w:t>th</w:t>
      </w:r>
      <w:r w:rsidRPr="008925CE">
        <w:rPr>
          <w:rFonts w:cs="Arial"/>
        </w:rPr>
        <w:t xml:space="preserve"> August 2017 in accordance with projected delivery timeframes and is now scheduled to be delivered next year.</w:t>
      </w:r>
    </w:p>
    <w:p w14:paraId="48BC0677" w14:textId="77777777" w:rsidR="00B75C24" w:rsidRPr="008925CE" w:rsidRDefault="00B75C24" w:rsidP="00B75C24">
      <w:pPr>
        <w:tabs>
          <w:tab w:val="left" w:pos="1134"/>
        </w:tabs>
        <w:spacing w:after="0"/>
        <w:ind w:right="-613"/>
        <w:contextualSpacing/>
        <w:rPr>
          <w:rFonts w:cs="Arial"/>
        </w:rPr>
      </w:pPr>
    </w:p>
    <w:p w14:paraId="7050D20D" w14:textId="77777777" w:rsidR="00B75C24" w:rsidRDefault="00B75C24" w:rsidP="00B75C24">
      <w:pPr>
        <w:numPr>
          <w:ilvl w:val="0"/>
          <w:numId w:val="32"/>
        </w:numPr>
        <w:tabs>
          <w:tab w:val="left" w:pos="1134"/>
        </w:tabs>
        <w:autoSpaceDE/>
        <w:autoSpaceDN/>
        <w:adjustRightInd/>
        <w:spacing w:after="0"/>
        <w:ind w:left="1134" w:right="-613" w:hanging="567"/>
        <w:contextualSpacing/>
        <w:rPr>
          <w:rFonts w:cs="Arial"/>
        </w:rPr>
      </w:pPr>
      <w:r w:rsidRPr="008925CE">
        <w:rPr>
          <w:rFonts w:cs="Arial"/>
        </w:rPr>
        <w:t>£1.500m refers to the advanced programming of unallocated budget originally phased for delivery in 2018/19 for phase 2 of the Colne Lord Street dry rot remedial project per the cabinet paper approved 25</w:t>
      </w:r>
      <w:r w:rsidRPr="008925CE">
        <w:rPr>
          <w:rFonts w:cs="Arial"/>
          <w:vertAlign w:val="superscript"/>
        </w:rPr>
        <w:t>th</w:t>
      </w:r>
      <w:r w:rsidRPr="008925CE">
        <w:rPr>
          <w:rFonts w:cs="Arial"/>
        </w:rPr>
        <w:t xml:space="preserve"> July 2017. This will result in underspend in future years. </w:t>
      </w:r>
    </w:p>
    <w:p w14:paraId="67974038" w14:textId="77777777" w:rsidR="00B75C24" w:rsidRPr="008925CE" w:rsidRDefault="00B75C24" w:rsidP="00B75C24">
      <w:pPr>
        <w:tabs>
          <w:tab w:val="left" w:pos="1134"/>
        </w:tabs>
        <w:spacing w:after="0"/>
        <w:ind w:right="-613"/>
        <w:contextualSpacing/>
        <w:rPr>
          <w:rFonts w:cs="Arial"/>
        </w:rPr>
      </w:pPr>
    </w:p>
    <w:p w14:paraId="30879C28" w14:textId="77777777" w:rsidR="00B75C24" w:rsidRPr="008925CE" w:rsidRDefault="00B75C24" w:rsidP="00B75C24">
      <w:pPr>
        <w:numPr>
          <w:ilvl w:val="0"/>
          <w:numId w:val="32"/>
        </w:numPr>
        <w:tabs>
          <w:tab w:val="left" w:pos="1134"/>
        </w:tabs>
        <w:autoSpaceDE/>
        <w:autoSpaceDN/>
        <w:adjustRightInd/>
        <w:spacing w:after="0"/>
        <w:ind w:left="1134" w:right="-613" w:hanging="567"/>
        <w:contextualSpacing/>
        <w:rPr>
          <w:rFonts w:cs="Arial"/>
        </w:rPr>
      </w:pPr>
      <w:r w:rsidRPr="008925CE">
        <w:rPr>
          <w:rFonts w:cs="Arial"/>
        </w:rPr>
        <w:t xml:space="preserve">-£0.823m unallocated and contingency remaining from the 2015/16 start Condition led programme which is committed until the programme is completed, at which point it will be released for reallocation to new projects. It is not currently forecast to spend in 2017/18. </w:t>
      </w:r>
    </w:p>
    <w:p w14:paraId="5D7E6F04" w14:textId="77777777" w:rsidR="00B75C24" w:rsidRPr="008925CE" w:rsidRDefault="00B75C24" w:rsidP="00B75C24">
      <w:pPr>
        <w:tabs>
          <w:tab w:val="left" w:pos="567"/>
        </w:tabs>
        <w:spacing w:after="0"/>
        <w:ind w:left="567" w:right="-613" w:hanging="567"/>
        <w:contextualSpacing/>
        <w:rPr>
          <w:rFonts w:cs="Arial"/>
        </w:rPr>
      </w:pPr>
    </w:p>
    <w:p w14:paraId="5675C70A" w14:textId="088D8BD0" w:rsidR="00B75C24" w:rsidRPr="008925CE" w:rsidRDefault="00B75C24" w:rsidP="00B75C24">
      <w:pPr>
        <w:numPr>
          <w:ilvl w:val="0"/>
          <w:numId w:val="26"/>
        </w:numPr>
        <w:tabs>
          <w:tab w:val="left" w:pos="567"/>
        </w:tabs>
        <w:autoSpaceDE/>
        <w:autoSpaceDN/>
        <w:adjustRightInd/>
        <w:spacing w:after="0"/>
        <w:ind w:left="567" w:right="-613" w:hanging="567"/>
        <w:contextualSpacing/>
        <w:rPr>
          <w:rFonts w:cs="Arial"/>
        </w:rPr>
      </w:pPr>
      <w:r w:rsidRPr="008925CE">
        <w:rPr>
          <w:rFonts w:cs="Arial"/>
        </w:rPr>
        <w:t xml:space="preserve">The Basic Need programme further forecasts a net expenditure more than budget of </w:t>
      </w:r>
      <w:r w:rsidRPr="008925CE">
        <w:rPr>
          <w:rFonts w:cs="Arial"/>
          <w:b/>
        </w:rPr>
        <w:t>£2.242m</w:t>
      </w:r>
      <w:r w:rsidRPr="008925CE">
        <w:rPr>
          <w:rFonts w:cs="Arial"/>
        </w:rPr>
        <w:t xml:space="preserve"> in reference to un-programmed budgets.</w:t>
      </w:r>
      <w:r w:rsidR="001B18A7">
        <w:rPr>
          <w:rFonts w:cs="Arial"/>
        </w:rPr>
        <w:t xml:space="preserve"> </w:t>
      </w:r>
      <w:r w:rsidRPr="008925CE">
        <w:rPr>
          <w:rFonts w:cs="Arial"/>
        </w:rPr>
        <w:t xml:space="preserve"> Of this, £0.347m refers to the net overspend incurred in previous years which has been met from unallocated budgets in 2017/18. </w:t>
      </w:r>
      <w:r w:rsidR="001B18A7">
        <w:rPr>
          <w:rFonts w:cs="Arial"/>
        </w:rPr>
        <w:t xml:space="preserve"> </w:t>
      </w:r>
      <w:r w:rsidRPr="008925CE">
        <w:rPr>
          <w:rFonts w:cs="Arial"/>
        </w:rPr>
        <w:t xml:space="preserve">In addition, £1.895m refers to the proportion of 2017/18 approved £5.040m Basic need programme which is to be delivered in 2017/18. </w:t>
      </w:r>
      <w:r>
        <w:rPr>
          <w:rFonts w:cs="Arial"/>
        </w:rPr>
        <w:t xml:space="preserve"> </w:t>
      </w:r>
      <w:r w:rsidRPr="008925CE">
        <w:rPr>
          <w:rFonts w:cs="Arial"/>
        </w:rPr>
        <w:t xml:space="preserve">This is funded from the Basic Need unallocated budget previously phased for delivery in 2018/19 and will result in an equivalent underspend in future years. </w:t>
      </w:r>
      <w:r>
        <w:rPr>
          <w:rFonts w:cs="Arial"/>
        </w:rPr>
        <w:t xml:space="preserve"> </w:t>
      </w:r>
      <w:r w:rsidRPr="008925CE">
        <w:rPr>
          <w:rFonts w:cs="Arial"/>
        </w:rPr>
        <w:t xml:space="preserve">The remainder of the programme has been re-phased to 2018/19 and beyond in accordance with estimated delivery timeframes following design development and tender approval. </w:t>
      </w:r>
    </w:p>
    <w:p w14:paraId="7F61BB9F" w14:textId="77777777" w:rsidR="00B75C24" w:rsidRPr="008925CE" w:rsidRDefault="00B75C24" w:rsidP="00B75C24">
      <w:pPr>
        <w:tabs>
          <w:tab w:val="left" w:pos="567"/>
        </w:tabs>
        <w:spacing w:after="0"/>
        <w:ind w:right="-613"/>
        <w:rPr>
          <w:rFonts w:cs="Arial"/>
        </w:rPr>
      </w:pPr>
    </w:p>
    <w:p w14:paraId="6367BFAA" w14:textId="77777777" w:rsidR="00B75C24" w:rsidRPr="008925CE" w:rsidRDefault="00B75C24" w:rsidP="00B75C24">
      <w:pPr>
        <w:tabs>
          <w:tab w:val="left" w:pos="567"/>
        </w:tabs>
        <w:spacing w:after="0"/>
        <w:ind w:right="-613"/>
        <w:rPr>
          <w:rFonts w:cs="Arial"/>
          <w:b/>
        </w:rPr>
      </w:pPr>
      <w:r w:rsidRPr="008925CE">
        <w:rPr>
          <w:rFonts w:cs="Arial"/>
          <w:b/>
        </w:rPr>
        <w:t>Children and Young People</w:t>
      </w:r>
    </w:p>
    <w:p w14:paraId="1E30D52C" w14:textId="77777777" w:rsidR="00B75C24" w:rsidRDefault="00B75C24" w:rsidP="00B75C24">
      <w:pPr>
        <w:tabs>
          <w:tab w:val="left" w:pos="567"/>
        </w:tabs>
        <w:spacing w:after="0"/>
        <w:ind w:right="-613"/>
        <w:rPr>
          <w:rFonts w:cs="Arial"/>
          <w:b/>
        </w:rPr>
      </w:pPr>
    </w:p>
    <w:p w14:paraId="526EA87D" w14:textId="6B7A190A" w:rsidR="00B75C24" w:rsidRDefault="00B75C24" w:rsidP="00B75C24">
      <w:pPr>
        <w:tabs>
          <w:tab w:val="left" w:pos="567"/>
        </w:tabs>
        <w:spacing w:after="0"/>
        <w:ind w:right="-613"/>
        <w:rPr>
          <w:rFonts w:cs="Arial"/>
          <w:b/>
        </w:rPr>
      </w:pPr>
      <w:r w:rsidRPr="008925CE">
        <w:rPr>
          <w:rFonts w:cs="Arial"/>
          <w:b/>
        </w:rPr>
        <w:t xml:space="preserve">The current total forecast spend for CYP is £7.961m. </w:t>
      </w:r>
      <w:r w:rsidR="001B18A7">
        <w:rPr>
          <w:rFonts w:cs="Arial"/>
          <w:b/>
        </w:rPr>
        <w:t xml:space="preserve"> </w:t>
      </w:r>
      <w:r w:rsidRPr="008925CE">
        <w:rPr>
          <w:rFonts w:cs="Arial"/>
          <w:b/>
        </w:rPr>
        <w:t xml:space="preserve">This represents a net spend greater than delivery programme of £2.119m. </w:t>
      </w:r>
      <w:r w:rsidR="001B18A7">
        <w:rPr>
          <w:rFonts w:cs="Arial"/>
          <w:b/>
        </w:rPr>
        <w:t xml:space="preserve"> </w:t>
      </w:r>
      <w:r w:rsidRPr="008925CE">
        <w:rPr>
          <w:rFonts w:cs="Arial"/>
          <w:b/>
        </w:rPr>
        <w:t>This can be summarised as follows:</w:t>
      </w:r>
    </w:p>
    <w:p w14:paraId="7A42A364" w14:textId="77777777" w:rsidR="00B75C24" w:rsidRPr="008925CE" w:rsidRDefault="00B75C24" w:rsidP="00B75C24">
      <w:pPr>
        <w:tabs>
          <w:tab w:val="left" w:pos="567"/>
        </w:tabs>
        <w:spacing w:after="0"/>
        <w:ind w:right="-613"/>
        <w:rPr>
          <w:rFonts w:cs="Arial"/>
          <w:b/>
        </w:rPr>
      </w:pPr>
    </w:p>
    <w:p w14:paraId="69832751" w14:textId="77777777" w:rsidR="00B75C24" w:rsidRDefault="00B75C24" w:rsidP="00B75C24">
      <w:pPr>
        <w:numPr>
          <w:ilvl w:val="0"/>
          <w:numId w:val="27"/>
        </w:numPr>
        <w:tabs>
          <w:tab w:val="left" w:pos="567"/>
        </w:tabs>
        <w:autoSpaceDE/>
        <w:autoSpaceDN/>
        <w:adjustRightInd/>
        <w:spacing w:after="0"/>
        <w:ind w:left="567" w:right="-613" w:hanging="567"/>
        <w:contextualSpacing/>
        <w:rPr>
          <w:rFonts w:cs="Arial"/>
        </w:rPr>
      </w:pPr>
      <w:r w:rsidRPr="008925CE">
        <w:rPr>
          <w:rFonts w:cs="Arial"/>
          <w:b/>
        </w:rPr>
        <w:t>£4.046m</w:t>
      </w:r>
      <w:r w:rsidRPr="008925CE">
        <w:rPr>
          <w:rFonts w:cs="Arial"/>
        </w:rPr>
        <w:t xml:space="preserve"> forecast expenditure ahead of the 2017/18 profile relating to the contribution to City Deal budget re Preston Youth Zone.</w:t>
      </w:r>
      <w:r>
        <w:rPr>
          <w:rFonts w:cs="Arial"/>
        </w:rPr>
        <w:t xml:space="preserve"> </w:t>
      </w:r>
      <w:r w:rsidRPr="008925CE">
        <w:rPr>
          <w:rFonts w:cs="Arial"/>
        </w:rPr>
        <w:t xml:space="preserve"> This profile will result in lower spend in later years.</w:t>
      </w:r>
    </w:p>
    <w:p w14:paraId="67882F28" w14:textId="77777777" w:rsidR="00B75C24" w:rsidRPr="008925CE" w:rsidRDefault="00B75C24" w:rsidP="00B75C24">
      <w:pPr>
        <w:tabs>
          <w:tab w:val="left" w:pos="567"/>
        </w:tabs>
        <w:spacing w:after="0"/>
        <w:ind w:left="567" w:right="-613"/>
        <w:contextualSpacing/>
        <w:rPr>
          <w:rFonts w:cs="Arial"/>
        </w:rPr>
      </w:pPr>
    </w:p>
    <w:p w14:paraId="6E85FE79" w14:textId="77777777" w:rsidR="00B75C24" w:rsidRDefault="00B75C24" w:rsidP="00B75C24">
      <w:pPr>
        <w:numPr>
          <w:ilvl w:val="0"/>
          <w:numId w:val="27"/>
        </w:numPr>
        <w:tabs>
          <w:tab w:val="left" w:pos="567"/>
        </w:tabs>
        <w:autoSpaceDE/>
        <w:autoSpaceDN/>
        <w:adjustRightInd/>
        <w:spacing w:after="0"/>
        <w:ind w:left="567" w:right="-613" w:hanging="567"/>
        <w:contextualSpacing/>
        <w:rPr>
          <w:rFonts w:cs="Arial"/>
        </w:rPr>
      </w:pPr>
      <w:r w:rsidRPr="008925CE">
        <w:rPr>
          <w:rFonts w:cs="Arial"/>
          <w:b/>
        </w:rPr>
        <w:t>-£2.330m</w:t>
      </w:r>
      <w:r w:rsidRPr="008925CE">
        <w:rPr>
          <w:rFonts w:cs="Arial"/>
        </w:rPr>
        <w:t xml:space="preserve"> of slippage from the 2017/18 delivery budget into future years.</w:t>
      </w:r>
      <w:r>
        <w:rPr>
          <w:rFonts w:cs="Arial"/>
        </w:rPr>
        <w:t xml:space="preserve"> </w:t>
      </w:r>
      <w:r w:rsidRPr="008925CE">
        <w:rPr>
          <w:rFonts w:cs="Arial"/>
        </w:rPr>
        <w:t xml:space="preserve"> The majority of this relates to an unallocated budget in the Residential Redesign programme of £2.091m for which no expenditure is forecast until revised plans are presented to and agreed by Cabinet regarding the development of a further Overnight Short Breaks unit. A further £0.560m is profiled for this project in the 2018/19 budget.  The Tower Wood replacement jetties forecast remains forecast to slip by -£0.222m into 2018/19. </w:t>
      </w:r>
      <w:r>
        <w:rPr>
          <w:rFonts w:cs="Arial"/>
        </w:rPr>
        <w:t xml:space="preserve"> </w:t>
      </w:r>
      <w:r w:rsidRPr="008925CE">
        <w:rPr>
          <w:rFonts w:cs="Arial"/>
        </w:rPr>
        <w:t xml:space="preserve">A </w:t>
      </w:r>
      <w:r w:rsidRPr="008925CE">
        <w:rPr>
          <w:rFonts w:cs="Arial"/>
        </w:rPr>
        <w:lastRenderedPageBreak/>
        <w:t>contractor for the project has been agreed but the Environment Agency have advised that work cannot begin on site before the 1</w:t>
      </w:r>
      <w:r w:rsidRPr="008925CE">
        <w:rPr>
          <w:rFonts w:cs="Arial"/>
          <w:vertAlign w:val="superscript"/>
        </w:rPr>
        <w:t>st</w:t>
      </w:r>
      <w:r w:rsidRPr="008925CE">
        <w:rPr>
          <w:rFonts w:cs="Arial"/>
        </w:rPr>
        <w:t xml:space="preserve"> May 2018 when the spawning season of the Arctic Char has ended. </w:t>
      </w:r>
      <w:r>
        <w:rPr>
          <w:rFonts w:cs="Arial"/>
        </w:rPr>
        <w:t xml:space="preserve"> </w:t>
      </w:r>
      <w:r w:rsidRPr="008925CE">
        <w:rPr>
          <w:rFonts w:cs="Arial"/>
        </w:rPr>
        <w:t xml:space="preserve">Other small slippage variances totalling £0.016m are forecast on two Residential Redesign projects. </w:t>
      </w:r>
    </w:p>
    <w:p w14:paraId="25806C35" w14:textId="77777777" w:rsidR="00B75C24" w:rsidRPr="008925CE" w:rsidRDefault="00B75C24" w:rsidP="00B75C24">
      <w:pPr>
        <w:tabs>
          <w:tab w:val="left" w:pos="567"/>
        </w:tabs>
        <w:spacing w:after="0"/>
        <w:ind w:right="-613"/>
        <w:contextualSpacing/>
        <w:rPr>
          <w:rFonts w:cs="Arial"/>
        </w:rPr>
      </w:pPr>
    </w:p>
    <w:p w14:paraId="4AC3F7A8" w14:textId="461F8F24" w:rsidR="00B75C24" w:rsidRDefault="00B75C24" w:rsidP="00B75C24">
      <w:pPr>
        <w:numPr>
          <w:ilvl w:val="0"/>
          <w:numId w:val="27"/>
        </w:numPr>
        <w:tabs>
          <w:tab w:val="left" w:pos="567"/>
        </w:tabs>
        <w:autoSpaceDE/>
        <w:autoSpaceDN/>
        <w:adjustRightInd/>
        <w:spacing w:after="0"/>
        <w:ind w:left="567" w:right="-613" w:hanging="567"/>
        <w:contextualSpacing/>
        <w:rPr>
          <w:rFonts w:cs="Arial"/>
        </w:rPr>
      </w:pPr>
      <w:r w:rsidRPr="008925CE">
        <w:rPr>
          <w:rFonts w:cs="Arial"/>
        </w:rPr>
        <w:t xml:space="preserve">There are advanced delivery variances of </w:t>
      </w:r>
      <w:r w:rsidRPr="008925CE">
        <w:rPr>
          <w:rFonts w:cs="Arial"/>
          <w:b/>
        </w:rPr>
        <w:t>£0.543m</w:t>
      </w:r>
      <w:r w:rsidRPr="008925CE">
        <w:rPr>
          <w:rFonts w:cs="Arial"/>
        </w:rPr>
        <w:t xml:space="preserve"> to unallocated budgets in year which act to reduce the unallocated funding profiled in future years. £0.382m refers to decisions to fund projects from unallocated funding budgeted and profiled for expenditure in future years (£0.122m for the Bungalow, £0.223m Tower Wood Jetties, £0.014m Belvedere Road windows, £0.023m Marsden Hall Road residential home bathroom refurbishment).</w:t>
      </w:r>
      <w:r w:rsidR="001B18A7">
        <w:rPr>
          <w:rFonts w:cs="Arial"/>
        </w:rPr>
        <w:t xml:space="preserve"> </w:t>
      </w:r>
      <w:r w:rsidRPr="008925CE">
        <w:rPr>
          <w:rFonts w:cs="Arial"/>
        </w:rPr>
        <w:t xml:space="preserve"> £0.161m refers to the net cost to the unallocated funds of absorbing overspending incurred on completed projects from prior years where the budget for delivery was slipped to years 2018/19 onwards. </w:t>
      </w:r>
    </w:p>
    <w:p w14:paraId="5B00D008" w14:textId="77777777" w:rsidR="00B75C24" w:rsidRPr="008925CE" w:rsidRDefault="00B75C24" w:rsidP="00B75C24">
      <w:pPr>
        <w:tabs>
          <w:tab w:val="left" w:pos="567"/>
        </w:tabs>
        <w:spacing w:after="0"/>
        <w:ind w:right="-613"/>
        <w:contextualSpacing/>
        <w:rPr>
          <w:rFonts w:cs="Arial"/>
        </w:rPr>
      </w:pPr>
    </w:p>
    <w:p w14:paraId="4939A13E" w14:textId="77777777" w:rsidR="00B75C24" w:rsidRPr="00744DA3" w:rsidRDefault="00B75C24" w:rsidP="00B75C24">
      <w:pPr>
        <w:numPr>
          <w:ilvl w:val="0"/>
          <w:numId w:val="27"/>
        </w:numPr>
        <w:tabs>
          <w:tab w:val="left" w:pos="567"/>
        </w:tabs>
        <w:autoSpaceDE/>
        <w:autoSpaceDN/>
        <w:adjustRightInd/>
        <w:spacing w:after="0"/>
        <w:ind w:left="567" w:right="-613" w:hanging="567"/>
        <w:contextualSpacing/>
        <w:rPr>
          <w:rFonts w:cs="Arial"/>
        </w:rPr>
      </w:pPr>
      <w:r w:rsidRPr="008925CE">
        <w:rPr>
          <w:rFonts w:cs="Arial"/>
        </w:rPr>
        <w:t>The Farington Lynhurst Overnight Short Break unit delivered from the Residential Redesign programme is forecast to complete under budget resulting in</w:t>
      </w:r>
      <w:r>
        <w:rPr>
          <w:rFonts w:cs="Arial"/>
        </w:rPr>
        <w:t xml:space="preserve"> an expected underspend of </w:t>
      </w:r>
      <w:r w:rsidRPr="008925CE">
        <w:rPr>
          <w:rFonts w:cs="Arial"/>
          <w:b/>
        </w:rPr>
        <w:t>-£0.143m.</w:t>
      </w:r>
    </w:p>
    <w:p w14:paraId="42EB954D" w14:textId="77777777" w:rsidR="00B75C24" w:rsidRPr="008925CE" w:rsidRDefault="00B75C24" w:rsidP="00B75C24">
      <w:pPr>
        <w:tabs>
          <w:tab w:val="left" w:pos="567"/>
        </w:tabs>
        <w:spacing w:after="0"/>
        <w:ind w:right="-613"/>
        <w:contextualSpacing/>
        <w:rPr>
          <w:rFonts w:cs="Arial"/>
        </w:rPr>
      </w:pPr>
    </w:p>
    <w:p w14:paraId="62CB7347" w14:textId="77777777" w:rsidR="00B75C24" w:rsidRPr="008925CE" w:rsidRDefault="00B75C24" w:rsidP="00B75C24">
      <w:pPr>
        <w:numPr>
          <w:ilvl w:val="0"/>
          <w:numId w:val="27"/>
        </w:numPr>
        <w:tabs>
          <w:tab w:val="left" w:pos="567"/>
        </w:tabs>
        <w:autoSpaceDE/>
        <w:autoSpaceDN/>
        <w:adjustRightInd/>
        <w:spacing w:after="0"/>
        <w:ind w:left="567" w:right="-613" w:hanging="567"/>
        <w:contextualSpacing/>
        <w:rPr>
          <w:rFonts w:cs="Arial"/>
        </w:rPr>
      </w:pPr>
      <w:r w:rsidRPr="008925CE">
        <w:rPr>
          <w:rFonts w:cs="Arial"/>
        </w:rPr>
        <w:t xml:space="preserve">An overspend of </w:t>
      </w:r>
      <w:r w:rsidRPr="008925CE">
        <w:rPr>
          <w:rFonts w:cs="Arial"/>
          <w:b/>
        </w:rPr>
        <w:t xml:space="preserve">£0.003m </w:t>
      </w:r>
      <w:r w:rsidRPr="008925CE">
        <w:rPr>
          <w:rFonts w:cs="Arial"/>
        </w:rPr>
        <w:t xml:space="preserve">has been incurred on a Residential Redesign project at Thornton Belvedere Road Children's home. </w:t>
      </w:r>
    </w:p>
    <w:p w14:paraId="32124F7F" w14:textId="77777777" w:rsidR="00B75C24" w:rsidRPr="008925CE" w:rsidRDefault="00B75C24" w:rsidP="00B75C24">
      <w:pPr>
        <w:tabs>
          <w:tab w:val="left" w:pos="567"/>
        </w:tabs>
        <w:spacing w:after="0"/>
        <w:ind w:right="-613"/>
        <w:rPr>
          <w:rFonts w:cs="Arial"/>
        </w:rPr>
      </w:pPr>
    </w:p>
    <w:p w14:paraId="038099C6" w14:textId="77777777" w:rsidR="00B75C24" w:rsidRPr="008925CE" w:rsidRDefault="00B75C24" w:rsidP="00B75C24">
      <w:pPr>
        <w:tabs>
          <w:tab w:val="left" w:pos="567"/>
        </w:tabs>
        <w:spacing w:after="0"/>
        <w:ind w:right="-613"/>
        <w:rPr>
          <w:rFonts w:cs="Arial"/>
          <w:b/>
          <w:bCs/>
        </w:rPr>
      </w:pPr>
      <w:r w:rsidRPr="001B18A7">
        <w:rPr>
          <w:rFonts w:cs="Arial"/>
          <w:b/>
        </w:rPr>
        <w:t>H</w:t>
      </w:r>
      <w:r w:rsidRPr="001B18A7">
        <w:rPr>
          <w:rFonts w:cs="Arial"/>
          <w:b/>
          <w:bCs/>
        </w:rPr>
        <w:t>i</w:t>
      </w:r>
      <w:r w:rsidRPr="008925CE">
        <w:rPr>
          <w:rFonts w:cs="Arial"/>
          <w:b/>
          <w:bCs/>
        </w:rPr>
        <w:t>ghways</w:t>
      </w:r>
    </w:p>
    <w:p w14:paraId="77980436" w14:textId="77777777" w:rsidR="00B75C24" w:rsidRDefault="00B75C24" w:rsidP="00B75C24">
      <w:pPr>
        <w:tabs>
          <w:tab w:val="left" w:pos="567"/>
        </w:tabs>
        <w:spacing w:after="0"/>
        <w:ind w:right="-613"/>
        <w:rPr>
          <w:rFonts w:cs="Arial"/>
          <w:b/>
          <w:bCs/>
        </w:rPr>
      </w:pPr>
    </w:p>
    <w:p w14:paraId="1DE6902B" w14:textId="77777777" w:rsidR="00B75C24" w:rsidRDefault="00B75C24" w:rsidP="00B75C24">
      <w:pPr>
        <w:tabs>
          <w:tab w:val="left" w:pos="567"/>
        </w:tabs>
        <w:spacing w:after="0"/>
        <w:ind w:right="-613"/>
        <w:rPr>
          <w:rFonts w:cs="Arial"/>
          <w:b/>
          <w:bCs/>
        </w:rPr>
      </w:pPr>
      <w:r w:rsidRPr="008925CE">
        <w:rPr>
          <w:rFonts w:cs="Arial"/>
          <w:b/>
          <w:bCs/>
        </w:rPr>
        <w:t xml:space="preserve">The current total forecast spend for Highways is £44.064m. </w:t>
      </w:r>
      <w:r>
        <w:rPr>
          <w:rFonts w:cs="Arial"/>
          <w:b/>
          <w:bCs/>
        </w:rPr>
        <w:t xml:space="preserve"> </w:t>
      </w:r>
      <w:r w:rsidRPr="008925CE">
        <w:rPr>
          <w:rFonts w:cs="Arial"/>
          <w:b/>
          <w:bCs/>
        </w:rPr>
        <w:t xml:space="preserve">This represents a net spend less than delivery programme of -£6.490m. </w:t>
      </w:r>
      <w:r>
        <w:rPr>
          <w:rFonts w:cs="Arial"/>
          <w:b/>
          <w:bCs/>
        </w:rPr>
        <w:t xml:space="preserve"> </w:t>
      </w:r>
      <w:r w:rsidRPr="008925CE">
        <w:rPr>
          <w:rFonts w:cs="Arial"/>
          <w:b/>
          <w:bCs/>
        </w:rPr>
        <w:t>This can be summarised as follows:</w:t>
      </w:r>
    </w:p>
    <w:p w14:paraId="31358189" w14:textId="77777777" w:rsidR="00B75C24" w:rsidRPr="008925CE" w:rsidRDefault="00B75C24" w:rsidP="00B75C24">
      <w:pPr>
        <w:tabs>
          <w:tab w:val="left" w:pos="567"/>
        </w:tabs>
        <w:spacing w:after="0"/>
        <w:ind w:right="-613"/>
        <w:rPr>
          <w:rFonts w:cs="Arial"/>
          <w:b/>
          <w:bCs/>
        </w:rPr>
      </w:pPr>
    </w:p>
    <w:p w14:paraId="6CB73C49" w14:textId="77777777" w:rsidR="00B75C24" w:rsidRPr="008925CE" w:rsidRDefault="00B75C24" w:rsidP="00B75C24">
      <w:pPr>
        <w:numPr>
          <w:ilvl w:val="0"/>
          <w:numId w:val="33"/>
        </w:numPr>
        <w:tabs>
          <w:tab w:val="left" w:pos="567"/>
        </w:tabs>
        <w:autoSpaceDE/>
        <w:autoSpaceDN/>
        <w:adjustRightInd/>
        <w:spacing w:after="0"/>
        <w:ind w:left="567" w:right="-613" w:hanging="567"/>
        <w:contextualSpacing/>
        <w:rPr>
          <w:rFonts w:cs="Arial"/>
        </w:rPr>
      </w:pPr>
      <w:r w:rsidRPr="008925CE">
        <w:rPr>
          <w:rFonts w:cs="Arial"/>
        </w:rPr>
        <w:t xml:space="preserve">A forecast projected underspend of DfT funding for Flood Damaged Roads and Bridges of </w:t>
      </w:r>
      <w:r w:rsidRPr="008925CE">
        <w:rPr>
          <w:rFonts w:cs="Arial"/>
          <w:b/>
          <w:bCs/>
        </w:rPr>
        <w:t xml:space="preserve">-£1.600m. </w:t>
      </w:r>
      <w:r>
        <w:rPr>
          <w:rFonts w:cs="Arial"/>
          <w:b/>
          <w:bCs/>
        </w:rPr>
        <w:t xml:space="preserve"> </w:t>
      </w:r>
      <w:r w:rsidRPr="008925CE">
        <w:rPr>
          <w:rFonts w:cs="Arial"/>
        </w:rPr>
        <w:t>This is mostly due to the Dinckley Bridge project</w:t>
      </w:r>
      <w:r>
        <w:rPr>
          <w:rFonts w:cs="Arial"/>
        </w:rPr>
        <w:t xml:space="preserve"> </w:t>
      </w:r>
      <w:r w:rsidRPr="008925CE">
        <w:rPr>
          <w:rFonts w:cs="Arial"/>
        </w:rPr>
        <w:t xml:space="preserve">- </w:t>
      </w:r>
      <w:r>
        <w:rPr>
          <w:rFonts w:cs="Arial"/>
        </w:rPr>
        <w:t>t</w:t>
      </w:r>
      <w:r w:rsidRPr="008925CE">
        <w:rPr>
          <w:rFonts w:cs="Arial"/>
        </w:rPr>
        <w:t>here are insufficient funds available to deliver a completely new structure therefore a revised project is in</w:t>
      </w:r>
      <w:r>
        <w:rPr>
          <w:rFonts w:cs="Arial"/>
        </w:rPr>
        <w:t xml:space="preserve"> the process of being designed. </w:t>
      </w:r>
      <w:r w:rsidRPr="008925CE">
        <w:rPr>
          <w:rFonts w:cs="Arial"/>
        </w:rPr>
        <w:t xml:space="preserve"> Due to the environmental restraints of working in the river the works are now programmed to start in April 2018. </w:t>
      </w:r>
      <w:r>
        <w:rPr>
          <w:rFonts w:cs="Arial"/>
        </w:rPr>
        <w:t xml:space="preserve"> </w:t>
      </w:r>
      <w:r w:rsidRPr="008925CE">
        <w:rPr>
          <w:rFonts w:cs="Arial"/>
        </w:rPr>
        <w:t>There will be some costs in 2017/18 for site clearance/preparation, however the majority of costs will now slip to 2018/19.</w:t>
      </w:r>
    </w:p>
    <w:p w14:paraId="4C909C5A" w14:textId="77777777" w:rsidR="00B75C24" w:rsidRPr="008925CE" w:rsidRDefault="00B75C24" w:rsidP="00B75C24">
      <w:pPr>
        <w:tabs>
          <w:tab w:val="left" w:pos="567"/>
        </w:tabs>
        <w:spacing w:after="0"/>
        <w:ind w:left="567" w:right="-613" w:hanging="567"/>
        <w:contextualSpacing/>
        <w:rPr>
          <w:rFonts w:cs="Arial"/>
        </w:rPr>
      </w:pPr>
    </w:p>
    <w:p w14:paraId="62CB0ED2" w14:textId="77777777" w:rsidR="00B75C24" w:rsidRPr="008925CE" w:rsidRDefault="00B75C24" w:rsidP="00B75C24">
      <w:pPr>
        <w:numPr>
          <w:ilvl w:val="0"/>
          <w:numId w:val="33"/>
        </w:numPr>
        <w:tabs>
          <w:tab w:val="left" w:pos="567"/>
        </w:tabs>
        <w:autoSpaceDE/>
        <w:autoSpaceDN/>
        <w:adjustRightInd/>
        <w:spacing w:after="0"/>
        <w:ind w:left="567" w:right="-613" w:hanging="567"/>
        <w:contextualSpacing/>
        <w:rPr>
          <w:rFonts w:cs="Arial"/>
        </w:rPr>
      </w:pPr>
      <w:r w:rsidRPr="008925CE">
        <w:rPr>
          <w:rFonts w:cs="Arial"/>
        </w:rPr>
        <w:t xml:space="preserve">A projected underspend of </w:t>
      </w:r>
      <w:r w:rsidRPr="008925CE">
        <w:rPr>
          <w:rFonts w:cs="Arial"/>
          <w:b/>
          <w:bCs/>
        </w:rPr>
        <w:t>-£0.460m</w:t>
      </w:r>
      <w:r w:rsidRPr="008925CE">
        <w:rPr>
          <w:rFonts w:cs="Arial"/>
        </w:rPr>
        <w:t xml:space="preserve"> in the drainage programme. </w:t>
      </w:r>
      <w:r>
        <w:rPr>
          <w:rFonts w:cs="Arial"/>
        </w:rPr>
        <w:t xml:space="preserve"> </w:t>
      </w:r>
      <w:r w:rsidRPr="008925CE">
        <w:rPr>
          <w:rFonts w:cs="Arial"/>
        </w:rPr>
        <w:t>The projected underspend has arisen due to several 2017/18 schemes being</w:t>
      </w:r>
      <w:r>
        <w:rPr>
          <w:rFonts w:cs="Arial"/>
        </w:rPr>
        <w:t xml:space="preserve"> forecast to slip into 2018/19. </w:t>
      </w:r>
      <w:r w:rsidRPr="008925CE">
        <w:rPr>
          <w:rFonts w:cs="Arial"/>
        </w:rPr>
        <w:t xml:space="preserve"> In addition, some older schemes have been cancelled, been less complex than anticipated or completed at no cost to LCC.</w:t>
      </w:r>
    </w:p>
    <w:p w14:paraId="23047E3C" w14:textId="77777777" w:rsidR="00B75C24" w:rsidRPr="008925CE" w:rsidRDefault="00B75C24" w:rsidP="00B75C24">
      <w:pPr>
        <w:tabs>
          <w:tab w:val="left" w:pos="567"/>
        </w:tabs>
        <w:spacing w:after="0"/>
        <w:ind w:left="567" w:right="-613" w:hanging="567"/>
        <w:contextualSpacing/>
        <w:rPr>
          <w:rFonts w:cs="Arial"/>
        </w:rPr>
      </w:pPr>
    </w:p>
    <w:p w14:paraId="7E6B8581" w14:textId="77777777" w:rsidR="00B75C24" w:rsidRPr="008925CE" w:rsidRDefault="00B75C24" w:rsidP="00B75C24">
      <w:pPr>
        <w:numPr>
          <w:ilvl w:val="0"/>
          <w:numId w:val="33"/>
        </w:numPr>
        <w:tabs>
          <w:tab w:val="left" w:pos="567"/>
        </w:tabs>
        <w:autoSpaceDE/>
        <w:autoSpaceDN/>
        <w:adjustRightInd/>
        <w:spacing w:after="0"/>
        <w:ind w:left="567" w:right="-613" w:hanging="567"/>
        <w:contextualSpacing/>
        <w:rPr>
          <w:rFonts w:cs="Arial"/>
        </w:rPr>
      </w:pPr>
      <w:r w:rsidRPr="008925CE">
        <w:rPr>
          <w:rFonts w:cs="Arial"/>
        </w:rPr>
        <w:t xml:space="preserve">A projected underspend in the Bridges programme of </w:t>
      </w:r>
      <w:r w:rsidRPr="008925CE">
        <w:rPr>
          <w:rFonts w:cs="Arial"/>
          <w:b/>
          <w:bCs/>
        </w:rPr>
        <w:t>-£0.430m.</w:t>
      </w:r>
      <w:r w:rsidRPr="008925CE">
        <w:rPr>
          <w:rFonts w:cs="Arial"/>
        </w:rPr>
        <w:t xml:space="preserve"> </w:t>
      </w:r>
      <w:r>
        <w:rPr>
          <w:rFonts w:cs="Arial"/>
        </w:rPr>
        <w:t xml:space="preserve"> </w:t>
      </w:r>
      <w:r w:rsidRPr="008925CE">
        <w:rPr>
          <w:rFonts w:cs="Arial"/>
        </w:rPr>
        <w:t xml:space="preserve">This is due to a -£0.100m underspend for delay in works to "The Brig" resulting from a licence being required, a -£0.250m underspend relating to Pinder Hill due to complexities with Utilities meaning construction is now only due to commence April 2018 and a projected underspend of -£0.080m due to the lack of availability of key personnel causing the 2016/17 Holden Wood project not progressing as intended. </w:t>
      </w:r>
    </w:p>
    <w:p w14:paraId="7DEDB187" w14:textId="77777777" w:rsidR="00B75C24" w:rsidRPr="008925CE" w:rsidRDefault="00B75C24" w:rsidP="00B75C24">
      <w:pPr>
        <w:tabs>
          <w:tab w:val="left" w:pos="567"/>
        </w:tabs>
        <w:spacing w:after="0"/>
        <w:ind w:left="567" w:right="-613" w:hanging="567"/>
        <w:contextualSpacing/>
        <w:rPr>
          <w:rFonts w:cs="Arial"/>
        </w:rPr>
      </w:pPr>
    </w:p>
    <w:p w14:paraId="22C07810" w14:textId="77777777" w:rsidR="00B75C24" w:rsidRPr="008925CE" w:rsidRDefault="00B75C24" w:rsidP="00B75C24">
      <w:pPr>
        <w:numPr>
          <w:ilvl w:val="0"/>
          <w:numId w:val="33"/>
        </w:numPr>
        <w:tabs>
          <w:tab w:val="left" w:pos="567"/>
        </w:tabs>
        <w:autoSpaceDE/>
        <w:autoSpaceDN/>
        <w:adjustRightInd/>
        <w:spacing w:after="0"/>
        <w:ind w:left="567" w:right="-613" w:hanging="567"/>
        <w:contextualSpacing/>
        <w:rPr>
          <w:rFonts w:cs="Arial"/>
        </w:rPr>
      </w:pPr>
      <w:r w:rsidRPr="008925CE">
        <w:rPr>
          <w:rFonts w:cs="Arial"/>
        </w:rPr>
        <w:t xml:space="preserve">A projected underspend of </w:t>
      </w:r>
      <w:r w:rsidRPr="008925CE">
        <w:rPr>
          <w:rFonts w:cs="Arial"/>
          <w:b/>
        </w:rPr>
        <w:t>-</w:t>
      </w:r>
      <w:r w:rsidRPr="008925CE">
        <w:rPr>
          <w:rFonts w:cs="Arial"/>
          <w:b/>
          <w:bCs/>
        </w:rPr>
        <w:t>£4.000m</w:t>
      </w:r>
      <w:r>
        <w:rPr>
          <w:rFonts w:cs="Arial"/>
        </w:rPr>
        <w:t xml:space="preserve"> in the Roads programme. </w:t>
      </w:r>
      <w:r w:rsidRPr="008925CE">
        <w:rPr>
          <w:rFonts w:cs="Arial"/>
        </w:rPr>
        <w:t xml:space="preserve"> In July 2017 an additional £5m was ap</w:t>
      </w:r>
      <w:r>
        <w:rPr>
          <w:rFonts w:cs="Arial"/>
        </w:rPr>
        <w:t xml:space="preserve">proved for Highway Maintenance. </w:t>
      </w:r>
      <w:r w:rsidRPr="008925CE">
        <w:rPr>
          <w:rFonts w:cs="Arial"/>
        </w:rPr>
        <w:t xml:space="preserve"> This was split: £1.000m Responsive/Reactive Maintenance, £1.000m Early Intervention and £3.000m Projects </w:t>
      </w:r>
      <w:r w:rsidRPr="008925CE">
        <w:rPr>
          <w:rFonts w:cs="Arial"/>
        </w:rPr>
        <w:lastRenderedPageBreak/>
        <w:t xml:space="preserve">and Resources Planned Works. </w:t>
      </w:r>
      <w:r>
        <w:rPr>
          <w:rFonts w:cs="Arial"/>
        </w:rPr>
        <w:t xml:space="preserve"> </w:t>
      </w:r>
      <w:r w:rsidRPr="008925CE">
        <w:rPr>
          <w:rFonts w:cs="Arial"/>
        </w:rPr>
        <w:t>The £3.000m programme of works for Projects and Resources Planned works is currently on hold and therefore it is unlikely that any schemes will be delivered in the current financial year causing an in year underspend and of the remaining £2m it is unlikely that all schemes will be delivered before the end of March 2018 so slippage of £1.000m has been included in the forecast.</w:t>
      </w:r>
    </w:p>
    <w:p w14:paraId="4CCAC691" w14:textId="77777777" w:rsidR="00B75C24" w:rsidRPr="008925CE" w:rsidRDefault="00B75C24" w:rsidP="00B75C24">
      <w:pPr>
        <w:tabs>
          <w:tab w:val="left" w:pos="567"/>
        </w:tabs>
        <w:spacing w:after="0"/>
        <w:ind w:left="567" w:right="-613" w:hanging="567"/>
        <w:rPr>
          <w:rFonts w:cs="Arial"/>
        </w:rPr>
      </w:pPr>
    </w:p>
    <w:p w14:paraId="1A3090D4" w14:textId="77777777" w:rsidR="00B75C24" w:rsidRPr="008925CE" w:rsidRDefault="00B75C24" w:rsidP="00B75C24">
      <w:pPr>
        <w:tabs>
          <w:tab w:val="left" w:pos="567"/>
        </w:tabs>
        <w:spacing w:after="0"/>
        <w:ind w:left="567" w:right="-613" w:hanging="567"/>
        <w:rPr>
          <w:rFonts w:cs="Arial"/>
          <w:b/>
        </w:rPr>
      </w:pPr>
      <w:r w:rsidRPr="008925CE">
        <w:rPr>
          <w:rFonts w:cs="Arial"/>
          <w:b/>
        </w:rPr>
        <w:t>Transport</w:t>
      </w:r>
    </w:p>
    <w:p w14:paraId="5430DAEC" w14:textId="77777777" w:rsidR="00B75C24" w:rsidRDefault="00B75C24" w:rsidP="00B75C24">
      <w:pPr>
        <w:tabs>
          <w:tab w:val="left" w:pos="567"/>
        </w:tabs>
        <w:spacing w:after="0"/>
        <w:ind w:right="-613"/>
        <w:rPr>
          <w:rFonts w:cs="Arial"/>
          <w:b/>
        </w:rPr>
      </w:pPr>
    </w:p>
    <w:p w14:paraId="714B7BA1" w14:textId="77777777" w:rsidR="00B75C24" w:rsidRDefault="00B75C24" w:rsidP="00B75C24">
      <w:pPr>
        <w:tabs>
          <w:tab w:val="left" w:pos="567"/>
        </w:tabs>
        <w:spacing w:after="0"/>
        <w:ind w:right="-613"/>
        <w:rPr>
          <w:rFonts w:cs="Arial"/>
          <w:b/>
        </w:rPr>
      </w:pPr>
      <w:r w:rsidRPr="008925CE">
        <w:rPr>
          <w:rFonts w:cs="Arial"/>
          <w:b/>
        </w:rPr>
        <w:t xml:space="preserve">The current total forecast spend for Transport is £36.415m. </w:t>
      </w:r>
      <w:r>
        <w:rPr>
          <w:rFonts w:cs="Arial"/>
          <w:b/>
        </w:rPr>
        <w:t xml:space="preserve"> </w:t>
      </w:r>
      <w:r w:rsidRPr="008925CE">
        <w:rPr>
          <w:rFonts w:cs="Arial"/>
          <w:b/>
        </w:rPr>
        <w:t>This represents a net spend less than delivery programme of -£1.</w:t>
      </w:r>
      <w:r>
        <w:rPr>
          <w:rFonts w:cs="Arial"/>
          <w:b/>
        </w:rPr>
        <w:t>732m</w:t>
      </w:r>
      <w:r w:rsidRPr="008925CE">
        <w:rPr>
          <w:rFonts w:cs="Arial"/>
          <w:b/>
        </w:rPr>
        <w:t xml:space="preserve">. </w:t>
      </w:r>
      <w:r>
        <w:rPr>
          <w:rFonts w:cs="Arial"/>
          <w:b/>
        </w:rPr>
        <w:t xml:space="preserve"> </w:t>
      </w:r>
      <w:r w:rsidRPr="008925CE">
        <w:rPr>
          <w:rFonts w:cs="Arial"/>
          <w:b/>
        </w:rPr>
        <w:t>This can be summarised as follows:</w:t>
      </w:r>
    </w:p>
    <w:p w14:paraId="77D2BEE7" w14:textId="77777777" w:rsidR="00B75C24" w:rsidRPr="008925CE" w:rsidRDefault="00B75C24" w:rsidP="00B75C24">
      <w:pPr>
        <w:tabs>
          <w:tab w:val="left" w:pos="567"/>
        </w:tabs>
        <w:spacing w:after="0"/>
        <w:ind w:right="-613"/>
        <w:rPr>
          <w:rFonts w:cs="Arial"/>
          <w:b/>
        </w:rPr>
      </w:pPr>
    </w:p>
    <w:p w14:paraId="6AF2A804" w14:textId="77777777" w:rsidR="00B75C24"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 xml:space="preserve">Slippage in delivery of </w:t>
      </w:r>
      <w:r>
        <w:rPr>
          <w:rFonts w:cs="Arial"/>
          <w:b/>
        </w:rPr>
        <w:t>-£5.844</w:t>
      </w:r>
      <w:r w:rsidRPr="008925CE">
        <w:rPr>
          <w:rFonts w:cs="Arial"/>
          <w:b/>
        </w:rPr>
        <w:t>m</w:t>
      </w:r>
      <w:r w:rsidRPr="008925CE">
        <w:rPr>
          <w:rFonts w:cs="Arial"/>
        </w:rPr>
        <w:t xml:space="preserve">. </w:t>
      </w:r>
      <w:r>
        <w:rPr>
          <w:rFonts w:cs="Arial"/>
        </w:rPr>
        <w:t xml:space="preserve"> </w:t>
      </w:r>
      <w:r w:rsidRPr="008925CE">
        <w:rPr>
          <w:rFonts w:cs="Arial"/>
        </w:rPr>
        <w:t xml:space="preserve">This is due to either delays to delivery of projects or unallocated budgets where delivery projects have not yet been identified </w:t>
      </w:r>
    </w:p>
    <w:p w14:paraId="7A248448" w14:textId="77777777" w:rsidR="00B75C24" w:rsidRPr="008925CE" w:rsidRDefault="00B75C24" w:rsidP="001B18A7">
      <w:pPr>
        <w:tabs>
          <w:tab w:val="left" w:pos="567"/>
        </w:tabs>
        <w:spacing w:after="0"/>
        <w:ind w:right="-613"/>
        <w:contextualSpacing/>
        <w:rPr>
          <w:rFonts w:cs="Arial"/>
        </w:rPr>
      </w:pPr>
    </w:p>
    <w:p w14:paraId="65F3AE79" w14:textId="77777777" w:rsidR="00B75C24"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 xml:space="preserve">Overspends in year, including spend to complete projects from earlier years of </w:t>
      </w:r>
      <w:r w:rsidRPr="008925CE">
        <w:rPr>
          <w:rFonts w:cs="Arial"/>
          <w:b/>
        </w:rPr>
        <w:t>£2.812m</w:t>
      </w:r>
    </w:p>
    <w:p w14:paraId="50793C96" w14:textId="77777777" w:rsidR="00B75C24" w:rsidRPr="00744DA3" w:rsidRDefault="00B75C24" w:rsidP="00B75C24">
      <w:pPr>
        <w:tabs>
          <w:tab w:val="left" w:pos="567"/>
        </w:tabs>
        <w:spacing w:after="0"/>
        <w:ind w:right="-613"/>
        <w:contextualSpacing/>
        <w:rPr>
          <w:rFonts w:cs="Arial"/>
        </w:rPr>
      </w:pPr>
    </w:p>
    <w:p w14:paraId="56161E28" w14:textId="77777777"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 xml:space="preserve">Advance delivery of future years project allocations of </w:t>
      </w:r>
      <w:r w:rsidRPr="008925CE">
        <w:rPr>
          <w:rFonts w:cs="Arial"/>
          <w:b/>
        </w:rPr>
        <w:t>£1.300m</w:t>
      </w:r>
    </w:p>
    <w:p w14:paraId="298FD24E" w14:textId="77777777" w:rsidR="00B75C24" w:rsidRPr="008925CE" w:rsidRDefault="00B75C24" w:rsidP="00B75C24">
      <w:pPr>
        <w:tabs>
          <w:tab w:val="left" w:pos="567"/>
        </w:tabs>
        <w:spacing w:after="0"/>
        <w:ind w:left="567" w:right="-613" w:hanging="567"/>
        <w:rPr>
          <w:rFonts w:cs="Arial"/>
        </w:rPr>
      </w:pPr>
    </w:p>
    <w:p w14:paraId="0D83B1C9" w14:textId="0912EE44"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b/>
        </w:rPr>
      </w:pPr>
      <w:r w:rsidRPr="008925CE">
        <w:rPr>
          <w:rFonts w:cs="Arial"/>
        </w:rPr>
        <w:t>Burnley Pendle Growth Corridor – This programme of works is a £13.000m scheme of alterations to junctions on the M65 and surrounding road networks.</w:t>
      </w:r>
      <w:r>
        <w:rPr>
          <w:rFonts w:cs="Arial"/>
        </w:rPr>
        <w:t xml:space="preserve"> </w:t>
      </w:r>
      <w:r w:rsidRPr="008925CE">
        <w:rPr>
          <w:rFonts w:cs="Arial"/>
        </w:rPr>
        <w:t xml:space="preserve"> It is a multi-year programme due to fully complete by March 2020.  Prior years have seen the improvements at Junction 12, Junction 7, Dunkenhalgh way and improvements to Rosegrove Station. </w:t>
      </w:r>
      <w:r>
        <w:rPr>
          <w:rFonts w:cs="Arial"/>
        </w:rPr>
        <w:t xml:space="preserve"> </w:t>
      </w:r>
      <w:r w:rsidRPr="008925CE">
        <w:rPr>
          <w:rFonts w:cs="Arial"/>
        </w:rPr>
        <w:t>In 2017/18 improvements to M65 Junction 13 and works on Hyndburn Road have been completed to date, further works already ongoing are due to complete by May 2018, whilst other later stages are currently at design or planning stage.</w:t>
      </w:r>
      <w:r>
        <w:rPr>
          <w:rFonts w:cs="Arial"/>
        </w:rPr>
        <w:t xml:space="preserve"> </w:t>
      </w:r>
      <w:r w:rsidR="001B18A7">
        <w:rPr>
          <w:rFonts w:cs="Arial"/>
        </w:rPr>
        <w:t xml:space="preserve"> </w:t>
      </w:r>
      <w:r w:rsidRPr="008925CE">
        <w:rPr>
          <w:rFonts w:cs="Arial"/>
        </w:rPr>
        <w:t xml:space="preserve">Whilst ongoing works have met some budget pressures these have been met within the programme and later stages, that are yet to be designed, will be designed to remain within budget. </w:t>
      </w:r>
      <w:r>
        <w:rPr>
          <w:rFonts w:cs="Arial"/>
        </w:rPr>
        <w:t xml:space="preserve"> </w:t>
      </w:r>
      <w:r w:rsidRPr="008925CE">
        <w:rPr>
          <w:rFonts w:cs="Arial"/>
        </w:rPr>
        <w:t xml:space="preserve">The forecast spend in 2017/18 of £3.659m against a delivery programme of £6.348m represents slippage of works to future years – expected spend in 2018/19 is currently £3.290m. </w:t>
      </w:r>
      <w:r>
        <w:rPr>
          <w:rFonts w:cs="Arial"/>
        </w:rPr>
        <w:t xml:space="preserve"> </w:t>
      </w:r>
      <w:r w:rsidRPr="008925CE">
        <w:rPr>
          <w:rFonts w:cs="Arial"/>
        </w:rPr>
        <w:t xml:space="preserve">Whilst changes have been made to the original programme due to operational and weather related issues, there are currently no indications of risk in terms of time or cost that will have a further overall impact on the full multi-year programme. </w:t>
      </w:r>
    </w:p>
    <w:p w14:paraId="10482F62" w14:textId="77777777" w:rsidR="00B75C24" w:rsidRPr="008925CE" w:rsidRDefault="00B75C24" w:rsidP="00B75C24">
      <w:pPr>
        <w:tabs>
          <w:tab w:val="left" w:pos="567"/>
        </w:tabs>
        <w:spacing w:after="0"/>
        <w:ind w:left="567" w:right="-613" w:hanging="567"/>
        <w:contextualSpacing/>
        <w:rPr>
          <w:rFonts w:cs="Arial"/>
          <w:b/>
        </w:rPr>
      </w:pPr>
    </w:p>
    <w:p w14:paraId="3C4E8164" w14:textId="77777777"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East Lancashire Strategic Cycleway -</w:t>
      </w:r>
      <w:r>
        <w:rPr>
          <w:rFonts w:cs="Arial"/>
          <w:b/>
        </w:rPr>
        <w:t xml:space="preserve"> </w:t>
      </w:r>
      <w:r w:rsidRPr="008925CE">
        <w:rPr>
          <w:rFonts w:cs="Arial"/>
        </w:rPr>
        <w:t xml:space="preserve">This programme of works is a £6.000m programme enhancing and creating cycle links in East Lancashire and Blackburn and creating leisure and cycle links to employment opportunities.  The works started in 2016 and are due </w:t>
      </w:r>
      <w:r>
        <w:rPr>
          <w:rFonts w:cs="Arial"/>
        </w:rPr>
        <w:t xml:space="preserve">to complete by November 2018.  </w:t>
      </w:r>
      <w:r w:rsidRPr="008925CE">
        <w:rPr>
          <w:rFonts w:cs="Arial"/>
        </w:rPr>
        <w:t>Whilst there have been budget pressures identified through the project, mainly due to changes to design and intended treatments following public consultation, and additional funding was agreed to be budgeted for, the programme is not forecast to exceed the now increased budget over the project lifetime.</w:t>
      </w:r>
      <w:r>
        <w:rPr>
          <w:rFonts w:cs="Arial"/>
        </w:rPr>
        <w:t xml:space="preserve"> </w:t>
      </w:r>
      <w:r w:rsidRPr="008925CE">
        <w:rPr>
          <w:rFonts w:cs="Arial"/>
        </w:rPr>
        <w:t xml:space="preserve"> This year has seen the completion of sections of the cycle way in the valley of Stone, continued works on parts of National Cycle Route 6 and the Weavers wheels section, with further works due to complete by the end of the financial year. </w:t>
      </w:r>
    </w:p>
    <w:p w14:paraId="2AC6BB69" w14:textId="77777777" w:rsidR="00B75C24" w:rsidRPr="008925CE" w:rsidRDefault="00B75C24" w:rsidP="00B75C24">
      <w:pPr>
        <w:tabs>
          <w:tab w:val="left" w:pos="567"/>
        </w:tabs>
        <w:spacing w:after="0"/>
        <w:ind w:left="567" w:right="-613" w:hanging="567"/>
        <w:contextualSpacing/>
        <w:rPr>
          <w:rFonts w:cs="Arial"/>
        </w:rPr>
      </w:pPr>
    </w:p>
    <w:p w14:paraId="25107C12" w14:textId="77777777"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b/>
        </w:rPr>
      </w:pPr>
      <w:r w:rsidRPr="008925CE">
        <w:rPr>
          <w:rFonts w:cs="Arial"/>
        </w:rPr>
        <w:lastRenderedPageBreak/>
        <w:t>Burnley Town Centre Works -</w:t>
      </w:r>
      <w:r w:rsidRPr="008925CE">
        <w:rPr>
          <w:rFonts w:cs="Arial"/>
          <w:b/>
        </w:rPr>
        <w:t xml:space="preserve"> </w:t>
      </w:r>
      <w:r w:rsidRPr="008925CE">
        <w:rPr>
          <w:rFonts w:cs="Arial"/>
        </w:rPr>
        <w:t xml:space="preserve">This is a project of improvements works in and around Burnley town centre, with additional funding agreed the total increased project budget is £3.950m and works were completed in December 2017. </w:t>
      </w:r>
    </w:p>
    <w:p w14:paraId="0474789D" w14:textId="77777777" w:rsidR="00B75C24" w:rsidRPr="008925CE" w:rsidRDefault="00B75C24" w:rsidP="00B75C24">
      <w:pPr>
        <w:tabs>
          <w:tab w:val="left" w:pos="567"/>
        </w:tabs>
        <w:spacing w:after="0"/>
        <w:ind w:left="567" w:right="-613" w:hanging="567"/>
        <w:contextualSpacing/>
        <w:rPr>
          <w:rFonts w:cs="Arial"/>
          <w:b/>
        </w:rPr>
      </w:pPr>
    </w:p>
    <w:p w14:paraId="0343C9C0" w14:textId="53DA0DEC" w:rsidR="00B75C24" w:rsidRPr="008925CE" w:rsidRDefault="00B75C24" w:rsidP="00B75C24">
      <w:pPr>
        <w:numPr>
          <w:ilvl w:val="0"/>
          <w:numId w:val="29"/>
        </w:numPr>
        <w:tabs>
          <w:tab w:val="left" w:pos="567"/>
        </w:tabs>
        <w:autoSpaceDE/>
        <w:autoSpaceDN/>
        <w:adjustRightInd/>
        <w:spacing w:after="0"/>
        <w:ind w:left="567" w:right="-613" w:hanging="567"/>
        <w:contextualSpacing/>
        <w:rPr>
          <w:rFonts w:eastAsia="Times New Roman" w:cs="Arial"/>
          <w:lang w:eastAsia="en-GB"/>
        </w:rPr>
      </w:pPr>
      <w:r w:rsidRPr="008925CE">
        <w:rPr>
          <w:rFonts w:cs="Arial"/>
        </w:rPr>
        <w:t xml:space="preserve">National Productivity Investment Fund (NPIF) - The £4.655m received in year is being used to fund development works on business cases for future bids (£0.020m) with the remainder being allocated to schemes by year end. </w:t>
      </w:r>
      <w:r>
        <w:rPr>
          <w:rFonts w:cs="Arial"/>
        </w:rPr>
        <w:t xml:space="preserve"> </w:t>
      </w:r>
      <w:r w:rsidRPr="008925CE">
        <w:rPr>
          <w:rFonts w:cs="Arial"/>
        </w:rPr>
        <w:t xml:space="preserve">A business case namely, </w:t>
      </w:r>
      <w:r w:rsidRPr="008925CE">
        <w:rPr>
          <w:rFonts w:eastAsia="Times New Roman" w:cs="Arial"/>
          <w:bCs/>
          <w:lang w:eastAsia="en-GB"/>
        </w:rPr>
        <w:t>Design of M65 Growth Corridor Improvements at J8, 9, 10, 13 &amp; North Valley Rd/ Vivary Way</w:t>
      </w:r>
      <w:r w:rsidRPr="008925CE">
        <w:rPr>
          <w:rFonts w:eastAsia="Times New Roman" w:cs="Arial"/>
          <w:lang w:eastAsia="en-GB"/>
        </w:rPr>
        <w:t xml:space="preserve"> has been allocated £0.200m, however works are yet to start suggesting that there is a risk of slippage into 2018/19. </w:t>
      </w:r>
      <w:r>
        <w:rPr>
          <w:rFonts w:eastAsia="Times New Roman" w:cs="Arial"/>
          <w:lang w:eastAsia="en-GB"/>
        </w:rPr>
        <w:t xml:space="preserve"> </w:t>
      </w:r>
      <w:r w:rsidRPr="008925CE">
        <w:rPr>
          <w:rFonts w:eastAsia="Times New Roman" w:cs="Arial"/>
          <w:lang w:eastAsia="en-GB"/>
        </w:rPr>
        <w:t xml:space="preserve">The unallocated monies are budgeted in year but may be slipped into future years if not allocated. </w:t>
      </w:r>
    </w:p>
    <w:p w14:paraId="5A9F6C64" w14:textId="77777777" w:rsidR="00B75C24" w:rsidRPr="008925CE" w:rsidRDefault="00B75C24" w:rsidP="00B75C24">
      <w:pPr>
        <w:tabs>
          <w:tab w:val="left" w:pos="567"/>
        </w:tabs>
        <w:spacing w:after="0"/>
        <w:ind w:left="567" w:right="-613" w:hanging="567"/>
        <w:contextualSpacing/>
        <w:rPr>
          <w:rFonts w:eastAsia="Times New Roman" w:cs="Arial"/>
          <w:lang w:eastAsia="en-GB"/>
        </w:rPr>
      </w:pPr>
    </w:p>
    <w:p w14:paraId="310E2786" w14:textId="364B4B92" w:rsidR="00B75C24" w:rsidRDefault="00B75C24" w:rsidP="00B75C24">
      <w:pPr>
        <w:numPr>
          <w:ilvl w:val="0"/>
          <w:numId w:val="29"/>
        </w:numPr>
        <w:tabs>
          <w:tab w:val="left" w:pos="567"/>
        </w:tabs>
        <w:autoSpaceDE/>
        <w:autoSpaceDN/>
        <w:adjustRightInd/>
        <w:spacing w:after="0"/>
        <w:ind w:left="567" w:right="-613" w:hanging="567"/>
        <w:contextualSpacing/>
        <w:rPr>
          <w:rFonts w:cs="Arial"/>
          <w:bCs/>
        </w:rPr>
      </w:pPr>
      <w:r w:rsidRPr="008925CE">
        <w:rPr>
          <w:rFonts w:cs="Arial"/>
          <w:bCs/>
        </w:rPr>
        <w:t>S106 M55 Heyhouses Link Road Design</w:t>
      </w:r>
      <w:r w:rsidR="001B18A7">
        <w:rPr>
          <w:rFonts w:cs="Arial"/>
          <w:bCs/>
        </w:rPr>
        <w:t xml:space="preserve"> </w:t>
      </w:r>
      <w:r w:rsidRPr="008925CE">
        <w:rPr>
          <w:rFonts w:cs="Arial"/>
          <w:bCs/>
        </w:rPr>
        <w:t xml:space="preserve">- This scheme of works has an estimated cost of £25.270m and requires several proposed funding partners, including but not limited to Fylde Borough Council, the Lancashire Enterprise Partnership, Highways England, the Department for Transport and Kensington Developments Limited. </w:t>
      </w:r>
    </w:p>
    <w:p w14:paraId="070F1F71" w14:textId="77777777" w:rsidR="00B75C24" w:rsidRPr="008925CE" w:rsidRDefault="00B75C24" w:rsidP="00B75C24">
      <w:pPr>
        <w:tabs>
          <w:tab w:val="left" w:pos="567"/>
        </w:tabs>
        <w:spacing w:after="0"/>
        <w:ind w:right="-613"/>
        <w:contextualSpacing/>
        <w:rPr>
          <w:rFonts w:cs="Arial"/>
          <w:bCs/>
        </w:rPr>
      </w:pPr>
    </w:p>
    <w:p w14:paraId="6A35EAC5" w14:textId="799E78C8" w:rsidR="00B75C24" w:rsidRPr="008925CE" w:rsidRDefault="00B75C24" w:rsidP="00B75C24">
      <w:pPr>
        <w:tabs>
          <w:tab w:val="left" w:pos="567"/>
        </w:tabs>
        <w:spacing w:after="0"/>
        <w:ind w:left="567" w:right="-613" w:hanging="567"/>
        <w:contextualSpacing/>
        <w:rPr>
          <w:rFonts w:cs="Arial"/>
          <w:bCs/>
        </w:rPr>
      </w:pPr>
      <w:r>
        <w:rPr>
          <w:rFonts w:cs="Arial"/>
          <w:bCs/>
        </w:rPr>
        <w:tab/>
      </w:r>
      <w:r w:rsidRPr="008925CE">
        <w:rPr>
          <w:rFonts w:cs="Arial"/>
          <w:bCs/>
        </w:rPr>
        <w:t>The scheme is designed to connect the existing roundabout at Whitehills Road to the north with Heyhouses Lane near the Cyprus Point development site to the south. It is a multi-year programme due to be completed in 2021.</w:t>
      </w:r>
      <w:r>
        <w:rPr>
          <w:rFonts w:cs="Arial"/>
          <w:bCs/>
        </w:rPr>
        <w:t xml:space="preserve"> </w:t>
      </w:r>
      <w:r w:rsidRPr="008925CE">
        <w:rPr>
          <w:rFonts w:cs="Arial"/>
          <w:bCs/>
        </w:rPr>
        <w:t xml:space="preserve"> The forecast spend in 2017/18 is £0.180m.</w:t>
      </w:r>
      <w:r>
        <w:rPr>
          <w:rFonts w:cs="Arial"/>
          <w:bCs/>
        </w:rPr>
        <w:t xml:space="preserve"> </w:t>
      </w:r>
      <w:r w:rsidRPr="008925CE">
        <w:rPr>
          <w:rFonts w:cs="Arial"/>
          <w:bCs/>
        </w:rPr>
        <w:t xml:space="preserve"> The scheme has experienced some delays in the consultant design stage due to an engineering </w:t>
      </w:r>
      <w:r w:rsidR="009E4412">
        <w:rPr>
          <w:rFonts w:cs="Arial"/>
          <w:bCs/>
        </w:rPr>
        <w:t>problem</w:t>
      </w:r>
      <w:r w:rsidRPr="008925CE">
        <w:rPr>
          <w:rFonts w:cs="Arial"/>
          <w:bCs/>
        </w:rPr>
        <w:t xml:space="preserve">, however this has now been overcome and revised proposals are expected by the close of Quarter 4. </w:t>
      </w:r>
      <w:r>
        <w:rPr>
          <w:rFonts w:cs="Arial"/>
          <w:bCs/>
        </w:rPr>
        <w:t xml:space="preserve"> </w:t>
      </w:r>
      <w:r w:rsidRPr="008925CE">
        <w:rPr>
          <w:rFonts w:cs="Arial"/>
          <w:bCs/>
        </w:rPr>
        <w:t>Discussions with several funding partners are currently ongoing and likely to continue into 2018/19.</w:t>
      </w:r>
    </w:p>
    <w:p w14:paraId="317C74AA" w14:textId="77777777" w:rsidR="00B75C24" w:rsidRPr="008925CE" w:rsidRDefault="00B75C24" w:rsidP="00B75C24">
      <w:pPr>
        <w:tabs>
          <w:tab w:val="left" w:pos="567"/>
        </w:tabs>
        <w:spacing w:after="0"/>
        <w:ind w:left="567" w:right="-613" w:hanging="567"/>
        <w:contextualSpacing/>
        <w:rPr>
          <w:rFonts w:cs="Arial"/>
          <w:bCs/>
        </w:rPr>
      </w:pPr>
    </w:p>
    <w:p w14:paraId="0E946338" w14:textId="77777777"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b/>
        </w:rPr>
      </w:pPr>
      <w:r w:rsidRPr="008925CE">
        <w:rPr>
          <w:rFonts w:cs="Arial"/>
        </w:rPr>
        <w:t>Skelmersdale Rail link - The overall programme budget of £5.655m includes work on the station business case and the works to demolish Glenburn college campus.  The delivery programme for 2017/18 for the programme was £3.380m and anticipated spend in 2017/18 is £1.729m which represents slippage to the programme of £1.651m in year.</w:t>
      </w:r>
      <w:r>
        <w:rPr>
          <w:rFonts w:cs="Arial"/>
        </w:rPr>
        <w:t xml:space="preserve"> </w:t>
      </w:r>
      <w:r w:rsidRPr="008925CE">
        <w:rPr>
          <w:rFonts w:cs="Arial"/>
        </w:rPr>
        <w:t xml:space="preserve"> This is forecast to be spent in 2018/19 along with the remainder of the programme budget. Total spend in 2018/19 is forecast at £3.713m. </w:t>
      </w:r>
      <w:r>
        <w:rPr>
          <w:rFonts w:cs="Arial"/>
        </w:rPr>
        <w:t xml:space="preserve"> </w:t>
      </w:r>
      <w:r w:rsidRPr="008925CE">
        <w:rPr>
          <w:rFonts w:cs="Arial"/>
        </w:rPr>
        <w:t>The works at Glenburn College site have commenced with a contract end date of July 2018 and is currently forecast to be within the £1.380m project budget.</w:t>
      </w:r>
      <w:r>
        <w:rPr>
          <w:rFonts w:cs="Arial"/>
        </w:rPr>
        <w:t xml:space="preserve"> </w:t>
      </w:r>
      <w:r w:rsidRPr="008925CE">
        <w:rPr>
          <w:rFonts w:cs="Arial"/>
        </w:rPr>
        <w:t xml:space="preserve"> The business case for the station is progressing through the GRIP stages with the GRIP 2 study being refreshed and GRIP 3a targeted by March 2020.  </w:t>
      </w:r>
    </w:p>
    <w:p w14:paraId="6DAF1D6E" w14:textId="77777777" w:rsidR="00B75C24" w:rsidRPr="008925CE" w:rsidRDefault="00B75C24" w:rsidP="00B75C24">
      <w:pPr>
        <w:tabs>
          <w:tab w:val="left" w:pos="567"/>
        </w:tabs>
        <w:spacing w:after="0"/>
        <w:ind w:left="567" w:right="-613" w:hanging="567"/>
        <w:contextualSpacing/>
        <w:rPr>
          <w:rFonts w:cs="Arial"/>
          <w:b/>
        </w:rPr>
      </w:pPr>
    </w:p>
    <w:p w14:paraId="7208E6BD" w14:textId="77777777"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 xml:space="preserve">Cycling Safety - Total Delivery Programme for 2017/18 is £0.761m with forecast spend in 2017/18 being £0.146m which represents an under delivery of £0.615m in the programme. </w:t>
      </w:r>
      <w:r>
        <w:rPr>
          <w:rFonts w:cs="Arial"/>
        </w:rPr>
        <w:t xml:space="preserve"> </w:t>
      </w:r>
      <w:r w:rsidRPr="008925CE">
        <w:rPr>
          <w:rFonts w:cs="Arial"/>
        </w:rPr>
        <w:t xml:space="preserve">This is due to the following; delivery expected in year but now delayed due to issues with scope or funding (slippage) £0.159m over 5 schemes, a programmed amount of £ 0.458m, underspends on completed projects of £0.012m and an over spend on a completed scheme of £0.014m.  </w:t>
      </w:r>
    </w:p>
    <w:p w14:paraId="5A88E282" w14:textId="77777777" w:rsidR="00B75C24" w:rsidRPr="008925CE" w:rsidRDefault="00B75C24" w:rsidP="00B75C24">
      <w:pPr>
        <w:tabs>
          <w:tab w:val="left" w:pos="567"/>
        </w:tabs>
        <w:spacing w:after="0"/>
        <w:ind w:left="567" w:right="-613" w:hanging="567"/>
        <w:contextualSpacing/>
        <w:rPr>
          <w:rFonts w:cs="Arial"/>
        </w:rPr>
      </w:pPr>
    </w:p>
    <w:p w14:paraId="50668D30" w14:textId="4F8C86E4"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Contribution to City Deal - There is a recurring annual commitment of £2.500m from the integrated transport grant that is committed to City Deal as a funding source for the infrastructure delivered through City Deal.</w:t>
      </w:r>
      <w:r>
        <w:rPr>
          <w:rFonts w:cs="Arial"/>
        </w:rPr>
        <w:t xml:space="preserve"> </w:t>
      </w:r>
      <w:r w:rsidRPr="008925CE">
        <w:rPr>
          <w:rFonts w:cs="Arial"/>
        </w:rPr>
        <w:t xml:space="preserve"> In 2017/18 this will be increased by £3.500m as there is a cabinet commitment to pay £6.000m over 2 years towards the costs of Preston Bus station refurbishment.  This will need to be borrowed for</w:t>
      </w:r>
      <w:r w:rsidR="009E4412">
        <w:rPr>
          <w:rFonts w:cs="Arial"/>
        </w:rPr>
        <w:t>,</w:t>
      </w:r>
      <w:r w:rsidRPr="008925CE">
        <w:rPr>
          <w:rFonts w:cs="Arial"/>
        </w:rPr>
        <w:t xml:space="preserve"> so while it is shown as spend on budget against delivery programme it is important to note the need to finance this commitment. </w:t>
      </w:r>
    </w:p>
    <w:p w14:paraId="09433CDD" w14:textId="77777777" w:rsidR="00B75C24" w:rsidRPr="008925CE" w:rsidRDefault="00B75C24" w:rsidP="00B75C24">
      <w:pPr>
        <w:tabs>
          <w:tab w:val="left" w:pos="567"/>
        </w:tabs>
        <w:spacing w:after="0"/>
        <w:ind w:left="567" w:right="-613" w:hanging="567"/>
        <w:contextualSpacing/>
        <w:rPr>
          <w:rFonts w:cs="Arial"/>
        </w:rPr>
      </w:pPr>
      <w:r w:rsidRPr="008925CE">
        <w:rPr>
          <w:rFonts w:cs="Arial"/>
        </w:rPr>
        <w:lastRenderedPageBreak/>
        <w:t xml:space="preserve"> </w:t>
      </w:r>
    </w:p>
    <w:p w14:paraId="73829644" w14:textId="77777777"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 xml:space="preserve">Ormskirk Town Centre – The programme is forecasting an under spend in year of £0.632m. </w:t>
      </w:r>
      <w:r>
        <w:rPr>
          <w:rFonts w:cs="Arial"/>
        </w:rPr>
        <w:t xml:space="preserve"> </w:t>
      </w:r>
      <w:r w:rsidRPr="008925CE">
        <w:rPr>
          <w:rFonts w:cs="Arial"/>
        </w:rPr>
        <w:t xml:space="preserve">The remaining budget will be re-profiled into later years and is included in the risk to slippage over the block as a whole.  </w:t>
      </w:r>
    </w:p>
    <w:p w14:paraId="73CBA071" w14:textId="77777777" w:rsidR="00B75C24" w:rsidRPr="008925CE" w:rsidRDefault="00B75C24" w:rsidP="00B75C24">
      <w:pPr>
        <w:tabs>
          <w:tab w:val="left" w:pos="567"/>
        </w:tabs>
        <w:spacing w:after="0"/>
        <w:ind w:left="567" w:right="-613" w:hanging="567"/>
        <w:contextualSpacing/>
        <w:rPr>
          <w:rFonts w:cs="Arial"/>
        </w:rPr>
      </w:pPr>
    </w:p>
    <w:p w14:paraId="65D70510" w14:textId="019EE19B"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Pennine Reach - The expected end date is now April 2018 after delays due to land negotiations.</w:t>
      </w:r>
      <w:r w:rsidR="001B18A7">
        <w:rPr>
          <w:rFonts w:cs="Arial"/>
        </w:rPr>
        <w:t xml:space="preserve"> </w:t>
      </w:r>
      <w:r w:rsidRPr="008925CE">
        <w:rPr>
          <w:rFonts w:cs="Arial"/>
        </w:rPr>
        <w:t xml:space="preserve"> There is a potential overspend arising on the project of £0.300m. </w:t>
      </w:r>
    </w:p>
    <w:p w14:paraId="04EA13F4" w14:textId="77777777" w:rsidR="00B75C24" w:rsidRPr="008925CE" w:rsidRDefault="00B75C24" w:rsidP="00B75C24">
      <w:pPr>
        <w:tabs>
          <w:tab w:val="left" w:pos="567"/>
        </w:tabs>
        <w:spacing w:after="0"/>
        <w:ind w:left="567" w:right="-613" w:hanging="567"/>
        <w:contextualSpacing/>
        <w:rPr>
          <w:rFonts w:cs="Arial"/>
        </w:rPr>
      </w:pPr>
    </w:p>
    <w:p w14:paraId="230C22A7" w14:textId="77777777"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 xml:space="preserve">Master Planning works - Provision was made in the programme in 2017/18 for master planning activities through the county totalling £4.725m. </w:t>
      </w:r>
      <w:r>
        <w:rPr>
          <w:rFonts w:cs="Arial"/>
        </w:rPr>
        <w:t xml:space="preserve"> </w:t>
      </w:r>
      <w:r w:rsidRPr="008925CE">
        <w:rPr>
          <w:rFonts w:cs="Arial"/>
        </w:rPr>
        <w:t xml:space="preserve">To date, no expenditure has been incurred on these projects and whilst spend is forecast at budget levels, there remains a risk that this will slip into spend in future years.  </w:t>
      </w:r>
    </w:p>
    <w:p w14:paraId="239A1E30" w14:textId="77777777" w:rsidR="00B75C24" w:rsidRPr="008925CE" w:rsidRDefault="00B75C24" w:rsidP="00B75C24">
      <w:pPr>
        <w:tabs>
          <w:tab w:val="left" w:pos="567"/>
        </w:tabs>
        <w:spacing w:after="0"/>
        <w:ind w:left="567" w:right="-613" w:hanging="567"/>
        <w:contextualSpacing/>
        <w:rPr>
          <w:rFonts w:cs="Arial"/>
        </w:rPr>
      </w:pPr>
    </w:p>
    <w:p w14:paraId="6A84CFC8" w14:textId="4741A850" w:rsidR="00B75C24" w:rsidRPr="008925CE" w:rsidRDefault="00B75C24" w:rsidP="00B75C24">
      <w:pPr>
        <w:numPr>
          <w:ilvl w:val="0"/>
          <w:numId w:val="29"/>
        </w:numPr>
        <w:tabs>
          <w:tab w:val="left" w:pos="567"/>
        </w:tabs>
        <w:autoSpaceDE/>
        <w:autoSpaceDN/>
        <w:adjustRightInd/>
        <w:spacing w:after="0"/>
        <w:ind w:left="567" w:right="-613" w:hanging="567"/>
        <w:contextualSpacing/>
        <w:rPr>
          <w:rFonts w:cs="Arial"/>
        </w:rPr>
      </w:pPr>
      <w:r w:rsidRPr="008925CE">
        <w:rPr>
          <w:rFonts w:cs="Arial"/>
        </w:rPr>
        <w:t xml:space="preserve">There are also £12.865m of budgets on projects which do not have any spend to date but are forecast to be spent fully in year. </w:t>
      </w:r>
      <w:r w:rsidR="001B18A7">
        <w:rPr>
          <w:rFonts w:cs="Arial"/>
        </w:rPr>
        <w:t xml:space="preserve"> </w:t>
      </w:r>
      <w:r w:rsidRPr="008925CE">
        <w:rPr>
          <w:rFonts w:cs="Arial"/>
        </w:rPr>
        <w:t xml:space="preserve">This represents a risk of slippage at this stage of the year.   </w:t>
      </w:r>
    </w:p>
    <w:p w14:paraId="04241C47" w14:textId="77777777" w:rsidR="00B75C24" w:rsidRPr="008925CE" w:rsidRDefault="00B75C24" w:rsidP="00B75C24">
      <w:pPr>
        <w:tabs>
          <w:tab w:val="left" w:pos="567"/>
        </w:tabs>
        <w:spacing w:after="0"/>
        <w:ind w:right="-613"/>
        <w:contextualSpacing/>
        <w:rPr>
          <w:rFonts w:cs="Arial"/>
        </w:rPr>
      </w:pPr>
    </w:p>
    <w:p w14:paraId="785D837E" w14:textId="77777777" w:rsidR="00B75C24" w:rsidRPr="008925CE" w:rsidRDefault="00B75C24" w:rsidP="00B75C24">
      <w:pPr>
        <w:tabs>
          <w:tab w:val="left" w:pos="567"/>
        </w:tabs>
        <w:spacing w:after="0"/>
        <w:ind w:right="-613"/>
        <w:rPr>
          <w:rFonts w:cs="Arial"/>
          <w:b/>
        </w:rPr>
      </w:pPr>
      <w:r w:rsidRPr="008925CE">
        <w:rPr>
          <w:rFonts w:cs="Arial"/>
          <w:b/>
        </w:rPr>
        <w:t>Waste</w:t>
      </w:r>
    </w:p>
    <w:p w14:paraId="368A5F5A" w14:textId="77777777" w:rsidR="00B75C24" w:rsidRDefault="00B75C24" w:rsidP="00B75C24">
      <w:pPr>
        <w:tabs>
          <w:tab w:val="left" w:pos="567"/>
        </w:tabs>
        <w:spacing w:after="0"/>
        <w:ind w:right="-613"/>
        <w:rPr>
          <w:rFonts w:cs="Arial"/>
          <w:b/>
        </w:rPr>
      </w:pPr>
    </w:p>
    <w:p w14:paraId="7578CCCB" w14:textId="5D1FCAF1" w:rsidR="00B75C24" w:rsidRDefault="00B75C24" w:rsidP="00B75C24">
      <w:pPr>
        <w:tabs>
          <w:tab w:val="left" w:pos="567"/>
        </w:tabs>
        <w:spacing w:after="0"/>
        <w:ind w:right="-613"/>
        <w:rPr>
          <w:rFonts w:cs="Arial"/>
          <w:b/>
        </w:rPr>
      </w:pPr>
      <w:r w:rsidRPr="008925CE">
        <w:rPr>
          <w:rFonts w:cs="Arial"/>
          <w:b/>
        </w:rPr>
        <w:t xml:space="preserve">The current total forecast spend for </w:t>
      </w:r>
      <w:r w:rsidR="009E4412">
        <w:rPr>
          <w:rFonts w:cs="Arial"/>
          <w:b/>
        </w:rPr>
        <w:t xml:space="preserve">Waste </w:t>
      </w:r>
      <w:r w:rsidRPr="008925CE">
        <w:rPr>
          <w:rFonts w:cs="Arial"/>
          <w:b/>
        </w:rPr>
        <w:t xml:space="preserve">is £2.899m. </w:t>
      </w:r>
      <w:r>
        <w:rPr>
          <w:rFonts w:cs="Arial"/>
          <w:b/>
        </w:rPr>
        <w:t xml:space="preserve"> </w:t>
      </w:r>
      <w:r w:rsidRPr="008925CE">
        <w:rPr>
          <w:rFonts w:cs="Arial"/>
          <w:b/>
        </w:rPr>
        <w:t xml:space="preserve">This represents a net spend less than delivery programme of -£3.536m. </w:t>
      </w:r>
      <w:r>
        <w:rPr>
          <w:rFonts w:cs="Arial"/>
          <w:b/>
        </w:rPr>
        <w:t xml:space="preserve"> </w:t>
      </w:r>
      <w:r w:rsidRPr="008925CE">
        <w:rPr>
          <w:rFonts w:cs="Arial"/>
          <w:b/>
        </w:rPr>
        <w:t>This can be summarised as follows:</w:t>
      </w:r>
    </w:p>
    <w:p w14:paraId="3655846D" w14:textId="77777777" w:rsidR="00B75C24" w:rsidRPr="008925CE" w:rsidRDefault="00B75C24" w:rsidP="00B75C24">
      <w:pPr>
        <w:tabs>
          <w:tab w:val="left" w:pos="567"/>
        </w:tabs>
        <w:spacing w:after="0"/>
        <w:ind w:right="-613"/>
        <w:rPr>
          <w:rFonts w:cs="Arial"/>
          <w:b/>
        </w:rPr>
      </w:pPr>
    </w:p>
    <w:p w14:paraId="09C62D08" w14:textId="77777777" w:rsidR="00B75C24" w:rsidRPr="008925CE" w:rsidRDefault="00B75C24" w:rsidP="00B75C24">
      <w:pPr>
        <w:numPr>
          <w:ilvl w:val="0"/>
          <w:numId w:val="30"/>
        </w:numPr>
        <w:tabs>
          <w:tab w:val="left" w:pos="567"/>
        </w:tabs>
        <w:autoSpaceDE/>
        <w:autoSpaceDN/>
        <w:adjustRightInd/>
        <w:spacing w:after="0"/>
        <w:ind w:left="567" w:right="-613" w:hanging="567"/>
        <w:contextualSpacing/>
        <w:rPr>
          <w:rFonts w:cs="Arial"/>
        </w:rPr>
      </w:pPr>
      <w:r w:rsidRPr="008925CE">
        <w:rPr>
          <w:rFonts w:cs="Arial"/>
        </w:rPr>
        <w:t xml:space="preserve">Fire Suppression Systems at Thornton and Farrington - The forecast cost of £0.830m reflects the spend to complete the fire risk mitigation project resulting in an underspend on the project in 2017/18 of </w:t>
      </w:r>
      <w:r w:rsidRPr="008925CE">
        <w:rPr>
          <w:rFonts w:cs="Arial"/>
          <w:b/>
        </w:rPr>
        <w:t>-£2.979m</w:t>
      </w:r>
    </w:p>
    <w:p w14:paraId="12BA40CF" w14:textId="77777777" w:rsidR="00B75C24" w:rsidRPr="008925CE" w:rsidRDefault="00B75C24" w:rsidP="00B75C24">
      <w:pPr>
        <w:tabs>
          <w:tab w:val="left" w:pos="567"/>
        </w:tabs>
        <w:spacing w:after="0"/>
        <w:ind w:left="567" w:right="-613" w:hanging="567"/>
        <w:contextualSpacing/>
        <w:rPr>
          <w:rFonts w:cs="Arial"/>
        </w:rPr>
      </w:pPr>
    </w:p>
    <w:p w14:paraId="0E5501D2" w14:textId="3CE2D6F6" w:rsidR="00B75C24" w:rsidRPr="008925CE" w:rsidRDefault="00B75C24" w:rsidP="00B75C24">
      <w:pPr>
        <w:numPr>
          <w:ilvl w:val="0"/>
          <w:numId w:val="30"/>
        </w:numPr>
        <w:tabs>
          <w:tab w:val="left" w:pos="567"/>
        </w:tabs>
        <w:autoSpaceDE/>
        <w:autoSpaceDN/>
        <w:adjustRightInd/>
        <w:spacing w:after="0"/>
        <w:ind w:left="567" w:right="-613" w:hanging="567"/>
        <w:contextualSpacing/>
        <w:rPr>
          <w:rFonts w:cs="Arial"/>
        </w:rPr>
      </w:pPr>
      <w:r w:rsidRPr="008925CE">
        <w:rPr>
          <w:rFonts w:cs="Arial"/>
        </w:rPr>
        <w:t>Rowley Landfill Site</w:t>
      </w:r>
      <w:r w:rsidR="001B18A7">
        <w:rPr>
          <w:rFonts w:cs="Arial"/>
        </w:rPr>
        <w:t xml:space="preserve"> </w:t>
      </w:r>
      <w:r w:rsidRPr="008925CE">
        <w:rPr>
          <w:rFonts w:cs="Arial"/>
        </w:rPr>
        <w:t xml:space="preserve">- The forecast underspend of </w:t>
      </w:r>
      <w:r w:rsidRPr="008925CE">
        <w:rPr>
          <w:rFonts w:cs="Arial"/>
          <w:b/>
        </w:rPr>
        <w:t>-£0.182m</w:t>
      </w:r>
      <w:r w:rsidRPr="008925CE">
        <w:rPr>
          <w:rFonts w:cs="Arial"/>
        </w:rPr>
        <w:t xml:space="preserve"> reflects the total tender price coming in under the original budgeted price agreed in 2016/17</w:t>
      </w:r>
    </w:p>
    <w:p w14:paraId="6E3386BD" w14:textId="77777777" w:rsidR="00B75C24" w:rsidRPr="008925CE" w:rsidRDefault="00B75C24" w:rsidP="00B75C24">
      <w:pPr>
        <w:tabs>
          <w:tab w:val="left" w:pos="567"/>
        </w:tabs>
        <w:spacing w:after="0"/>
        <w:ind w:left="567" w:right="-613" w:hanging="567"/>
        <w:rPr>
          <w:rFonts w:cs="Arial"/>
        </w:rPr>
      </w:pPr>
    </w:p>
    <w:p w14:paraId="49C4FC5E" w14:textId="655D6EC3" w:rsidR="00B75C24" w:rsidRPr="008925CE" w:rsidRDefault="00B75C24" w:rsidP="00B75C24">
      <w:pPr>
        <w:numPr>
          <w:ilvl w:val="0"/>
          <w:numId w:val="30"/>
        </w:numPr>
        <w:tabs>
          <w:tab w:val="left" w:pos="567"/>
        </w:tabs>
        <w:autoSpaceDE/>
        <w:autoSpaceDN/>
        <w:adjustRightInd/>
        <w:spacing w:after="0"/>
        <w:ind w:left="567" w:right="-613" w:hanging="567"/>
        <w:contextualSpacing/>
        <w:rPr>
          <w:rFonts w:cs="Arial"/>
        </w:rPr>
      </w:pPr>
      <w:r w:rsidRPr="008925CE">
        <w:rPr>
          <w:rFonts w:cs="Arial"/>
        </w:rPr>
        <w:t xml:space="preserve">Jameson Road HWRC has a forecasted slippage amount of </w:t>
      </w:r>
      <w:r w:rsidRPr="008925CE">
        <w:rPr>
          <w:rFonts w:cs="Arial"/>
          <w:b/>
        </w:rPr>
        <w:t>-£0.321m</w:t>
      </w:r>
      <w:r w:rsidRPr="008925CE">
        <w:rPr>
          <w:rFonts w:cs="Arial"/>
        </w:rPr>
        <w:t xml:space="preserve"> and is expected to be spent in 2018/19.</w:t>
      </w:r>
      <w:r w:rsidR="001B18A7">
        <w:rPr>
          <w:rFonts w:cs="Arial"/>
        </w:rPr>
        <w:t xml:space="preserve"> </w:t>
      </w:r>
      <w:r w:rsidRPr="008925CE">
        <w:rPr>
          <w:rFonts w:cs="Arial"/>
        </w:rPr>
        <w:t xml:space="preserve"> There is also an expected overspend for the project of £0.015m due to increased costs which is expected to materialise in 2018/19</w:t>
      </w:r>
    </w:p>
    <w:p w14:paraId="251277CB" w14:textId="77777777" w:rsidR="00B75C24" w:rsidRPr="008925CE" w:rsidRDefault="00B75C24" w:rsidP="00B75C24">
      <w:pPr>
        <w:tabs>
          <w:tab w:val="left" w:pos="567"/>
        </w:tabs>
        <w:spacing w:after="0"/>
        <w:ind w:left="567" w:right="-613" w:hanging="567"/>
        <w:rPr>
          <w:rFonts w:cs="Arial"/>
        </w:rPr>
      </w:pPr>
    </w:p>
    <w:p w14:paraId="508A71D3" w14:textId="77777777" w:rsidR="00B75C24" w:rsidRPr="008925CE" w:rsidRDefault="00B75C24" w:rsidP="00B75C24">
      <w:pPr>
        <w:numPr>
          <w:ilvl w:val="0"/>
          <w:numId w:val="30"/>
        </w:numPr>
        <w:tabs>
          <w:tab w:val="left" w:pos="567"/>
        </w:tabs>
        <w:autoSpaceDE/>
        <w:autoSpaceDN/>
        <w:adjustRightInd/>
        <w:spacing w:after="0"/>
        <w:ind w:left="567" w:right="-613" w:hanging="567"/>
        <w:contextualSpacing/>
        <w:rPr>
          <w:rFonts w:cs="Arial"/>
        </w:rPr>
      </w:pPr>
      <w:r w:rsidRPr="008925CE">
        <w:rPr>
          <w:rFonts w:cs="Arial"/>
        </w:rPr>
        <w:t xml:space="preserve">The relocation of Metrology Service has a forecasted slippage amount of </w:t>
      </w:r>
      <w:r w:rsidRPr="008925CE">
        <w:rPr>
          <w:rFonts w:cs="Arial"/>
          <w:b/>
        </w:rPr>
        <w:t>-£0.054m</w:t>
      </w:r>
      <w:r w:rsidRPr="008925CE">
        <w:rPr>
          <w:rFonts w:cs="Arial"/>
        </w:rPr>
        <w:t>. The project is anticipated to start 30 October 2017 with a small slippage into 2018/19</w:t>
      </w:r>
    </w:p>
    <w:p w14:paraId="6A3D85A4" w14:textId="77777777" w:rsidR="00B75C24" w:rsidRPr="008925CE" w:rsidRDefault="00B75C24" w:rsidP="00B75C24">
      <w:pPr>
        <w:pStyle w:val="ListParagraph"/>
        <w:tabs>
          <w:tab w:val="left" w:pos="567"/>
        </w:tabs>
        <w:spacing w:after="0"/>
        <w:ind w:left="0" w:right="-613"/>
        <w:rPr>
          <w:rFonts w:cs="Arial"/>
          <w:color w:val="000000" w:themeColor="text1"/>
        </w:rPr>
      </w:pPr>
    </w:p>
    <w:p w14:paraId="553CC430" w14:textId="77777777" w:rsidR="00B75C24" w:rsidRDefault="00B75C24" w:rsidP="00B75C24">
      <w:pPr>
        <w:tabs>
          <w:tab w:val="left" w:pos="567"/>
        </w:tabs>
        <w:spacing w:after="0"/>
        <w:ind w:right="-613"/>
        <w:rPr>
          <w:rFonts w:cs="Arial"/>
          <w:b/>
        </w:rPr>
      </w:pPr>
      <w:r w:rsidRPr="008925CE">
        <w:rPr>
          <w:rFonts w:cs="Arial"/>
          <w:b/>
        </w:rPr>
        <w:t>Adults Social Care</w:t>
      </w:r>
    </w:p>
    <w:p w14:paraId="173F3696" w14:textId="77777777" w:rsidR="00B75C24" w:rsidRPr="008925CE" w:rsidRDefault="00B75C24" w:rsidP="00B75C24">
      <w:pPr>
        <w:tabs>
          <w:tab w:val="left" w:pos="567"/>
        </w:tabs>
        <w:spacing w:after="0"/>
        <w:ind w:right="-613"/>
        <w:rPr>
          <w:rFonts w:cs="Arial"/>
          <w:b/>
        </w:rPr>
      </w:pPr>
    </w:p>
    <w:p w14:paraId="6F1DE777" w14:textId="4C6F0F0C" w:rsidR="00B75C24" w:rsidRPr="008925CE" w:rsidRDefault="00B75C24" w:rsidP="00B75C24">
      <w:pPr>
        <w:tabs>
          <w:tab w:val="left" w:pos="567"/>
        </w:tabs>
        <w:spacing w:after="0"/>
        <w:ind w:right="-613"/>
        <w:rPr>
          <w:rFonts w:cs="Arial"/>
          <w:b/>
        </w:rPr>
      </w:pPr>
      <w:r w:rsidRPr="008925CE">
        <w:rPr>
          <w:rFonts w:cs="Arial"/>
          <w:b/>
        </w:rPr>
        <w:t>The current total forecast spend for Adults Social Care is £12.769m.</w:t>
      </w:r>
      <w:r w:rsidR="001B18A7">
        <w:rPr>
          <w:rFonts w:cs="Arial"/>
          <w:b/>
        </w:rPr>
        <w:t xml:space="preserve"> </w:t>
      </w:r>
      <w:r>
        <w:rPr>
          <w:rFonts w:cs="Arial"/>
          <w:b/>
        </w:rPr>
        <w:t xml:space="preserve"> </w:t>
      </w:r>
      <w:r w:rsidRPr="008925CE">
        <w:rPr>
          <w:rFonts w:cs="Arial"/>
          <w:b/>
        </w:rPr>
        <w:t xml:space="preserve">This represents a net spend less than delivery programme of -£1.301m. </w:t>
      </w:r>
      <w:r>
        <w:rPr>
          <w:rFonts w:cs="Arial"/>
          <w:b/>
        </w:rPr>
        <w:t xml:space="preserve"> </w:t>
      </w:r>
      <w:r w:rsidRPr="008925CE">
        <w:rPr>
          <w:rFonts w:cs="Arial"/>
          <w:b/>
        </w:rPr>
        <w:t>This can be summarised as follows:</w:t>
      </w:r>
    </w:p>
    <w:p w14:paraId="6945AB4D" w14:textId="77777777" w:rsidR="00B75C24" w:rsidRPr="008925CE" w:rsidRDefault="00B75C24" w:rsidP="00B75C24">
      <w:pPr>
        <w:tabs>
          <w:tab w:val="left" w:pos="567"/>
        </w:tabs>
        <w:spacing w:after="0"/>
        <w:ind w:right="-613"/>
        <w:contextualSpacing/>
        <w:rPr>
          <w:rFonts w:cs="Arial"/>
          <w:color w:val="212121"/>
        </w:rPr>
      </w:pPr>
    </w:p>
    <w:p w14:paraId="30C9988B" w14:textId="77777777" w:rsidR="00B75C24" w:rsidRPr="008925CE" w:rsidRDefault="00B75C24" w:rsidP="00B75C24">
      <w:pPr>
        <w:numPr>
          <w:ilvl w:val="0"/>
          <w:numId w:val="31"/>
        </w:numPr>
        <w:tabs>
          <w:tab w:val="left" w:pos="567"/>
        </w:tabs>
        <w:autoSpaceDE/>
        <w:autoSpaceDN/>
        <w:adjustRightInd/>
        <w:spacing w:after="0"/>
        <w:ind w:left="567" w:right="-613" w:hanging="567"/>
        <w:contextualSpacing/>
        <w:rPr>
          <w:rFonts w:cs="Arial"/>
        </w:rPr>
      </w:pPr>
      <w:r w:rsidRPr="008925CE">
        <w:rPr>
          <w:rFonts w:cs="Arial"/>
          <w:color w:val="212121"/>
        </w:rPr>
        <w:t xml:space="preserve">A forecasted slippage amount of </w:t>
      </w:r>
      <w:r w:rsidRPr="008925CE">
        <w:rPr>
          <w:rFonts w:cs="Arial"/>
          <w:b/>
          <w:color w:val="212121"/>
        </w:rPr>
        <w:t>-£0.213m</w:t>
      </w:r>
      <w:r w:rsidRPr="008925CE">
        <w:rPr>
          <w:rFonts w:cs="Arial"/>
          <w:color w:val="212121"/>
        </w:rPr>
        <w:t xml:space="preserve"> on the Libraries Regenerate monies not yet allocated. </w:t>
      </w:r>
      <w:r>
        <w:rPr>
          <w:rFonts w:cs="Arial"/>
          <w:color w:val="212121"/>
        </w:rPr>
        <w:t xml:space="preserve"> </w:t>
      </w:r>
      <w:r w:rsidRPr="008925CE">
        <w:rPr>
          <w:rFonts w:cs="Arial"/>
          <w:color w:val="212121"/>
        </w:rPr>
        <w:t xml:space="preserve">This will be spent on the Libraries Regenerate programme in future years, and will be managed within the Property portfolio within the Corporate block of the programme. </w:t>
      </w:r>
    </w:p>
    <w:p w14:paraId="40EDD1BB" w14:textId="77777777" w:rsidR="00B75C24" w:rsidRPr="008925CE" w:rsidRDefault="00B75C24" w:rsidP="00B75C24">
      <w:pPr>
        <w:tabs>
          <w:tab w:val="left" w:pos="567"/>
        </w:tabs>
        <w:spacing w:after="0"/>
        <w:ind w:left="567" w:right="-613" w:hanging="567"/>
        <w:contextualSpacing/>
        <w:rPr>
          <w:rFonts w:cs="Arial"/>
        </w:rPr>
      </w:pPr>
    </w:p>
    <w:p w14:paraId="7E93C67A" w14:textId="77777777" w:rsidR="00B75C24" w:rsidRPr="008925CE" w:rsidRDefault="00B75C24" w:rsidP="00B75C24">
      <w:pPr>
        <w:numPr>
          <w:ilvl w:val="0"/>
          <w:numId w:val="31"/>
        </w:numPr>
        <w:tabs>
          <w:tab w:val="left" w:pos="567"/>
        </w:tabs>
        <w:autoSpaceDE/>
        <w:autoSpaceDN/>
        <w:adjustRightInd/>
        <w:spacing w:after="0"/>
        <w:ind w:left="567" w:right="-613" w:hanging="567"/>
        <w:contextualSpacing/>
        <w:rPr>
          <w:rFonts w:cs="Arial"/>
        </w:rPr>
      </w:pPr>
      <w:r w:rsidRPr="008925CE">
        <w:rPr>
          <w:rFonts w:cs="Arial"/>
        </w:rPr>
        <w:t xml:space="preserve">The Improving Information Management for Social Care project is being forecast to partly slip into 2018/19 by an amount of </w:t>
      </w:r>
      <w:r w:rsidRPr="008925CE">
        <w:rPr>
          <w:rFonts w:cs="Arial"/>
          <w:b/>
        </w:rPr>
        <w:t>-£0.215m</w:t>
      </w:r>
    </w:p>
    <w:p w14:paraId="06322478" w14:textId="77777777" w:rsidR="00B75C24" w:rsidRPr="008925CE" w:rsidRDefault="00B75C24" w:rsidP="00B75C24">
      <w:pPr>
        <w:tabs>
          <w:tab w:val="left" w:pos="567"/>
        </w:tabs>
        <w:spacing w:after="0"/>
        <w:ind w:left="567" w:right="-613" w:hanging="567"/>
        <w:contextualSpacing/>
        <w:rPr>
          <w:rFonts w:cs="Arial"/>
        </w:rPr>
      </w:pPr>
    </w:p>
    <w:p w14:paraId="4CADC3AB" w14:textId="1BC7B4DD" w:rsidR="00B75C24" w:rsidRPr="004254F1" w:rsidRDefault="00B75C24" w:rsidP="00B75C24">
      <w:pPr>
        <w:numPr>
          <w:ilvl w:val="0"/>
          <w:numId w:val="31"/>
        </w:numPr>
        <w:tabs>
          <w:tab w:val="left" w:pos="567"/>
        </w:tabs>
        <w:autoSpaceDE/>
        <w:autoSpaceDN/>
        <w:adjustRightInd/>
        <w:spacing w:after="0"/>
        <w:ind w:left="567" w:right="-613" w:hanging="567"/>
        <w:contextualSpacing/>
        <w:rPr>
          <w:rFonts w:cs="Arial"/>
        </w:rPr>
      </w:pPr>
      <w:r w:rsidRPr="008925CE">
        <w:rPr>
          <w:rFonts w:cs="Arial"/>
        </w:rPr>
        <w:t>Projects have been identified to be funded from the Social Care Capital grant but work is not expected to start until 2018/19.</w:t>
      </w:r>
      <w:r>
        <w:rPr>
          <w:rFonts w:cs="Arial"/>
        </w:rPr>
        <w:t xml:space="preserve">  </w:t>
      </w:r>
      <w:r w:rsidRPr="008925CE">
        <w:rPr>
          <w:rFonts w:cs="Arial"/>
        </w:rPr>
        <w:t xml:space="preserve">This causes a forecast slippage amount of </w:t>
      </w:r>
      <w:r w:rsidR="009D6093">
        <w:rPr>
          <w:rFonts w:cs="Arial"/>
        </w:rPr>
        <w:br/>
      </w:r>
      <w:r w:rsidRPr="004254F1">
        <w:rPr>
          <w:rFonts w:cs="Arial"/>
          <w:b/>
        </w:rPr>
        <w:t>-£1.000m</w:t>
      </w:r>
    </w:p>
    <w:p w14:paraId="41385A2D" w14:textId="77777777" w:rsidR="00B75C24" w:rsidRPr="008925CE" w:rsidRDefault="00B75C24" w:rsidP="00B75C24">
      <w:pPr>
        <w:tabs>
          <w:tab w:val="left" w:pos="567"/>
        </w:tabs>
        <w:spacing w:after="0"/>
        <w:ind w:left="567" w:right="-613" w:hanging="567"/>
        <w:contextualSpacing/>
        <w:rPr>
          <w:rFonts w:cs="Arial"/>
        </w:rPr>
      </w:pPr>
    </w:p>
    <w:p w14:paraId="29E84F22" w14:textId="77777777" w:rsidR="00B75C24" w:rsidRPr="008925CE" w:rsidRDefault="00B75C24" w:rsidP="00B75C24">
      <w:pPr>
        <w:numPr>
          <w:ilvl w:val="0"/>
          <w:numId w:val="31"/>
        </w:numPr>
        <w:tabs>
          <w:tab w:val="left" w:pos="567"/>
        </w:tabs>
        <w:autoSpaceDE/>
        <w:autoSpaceDN/>
        <w:adjustRightInd/>
        <w:spacing w:after="0"/>
        <w:ind w:left="567" w:right="-613" w:hanging="567"/>
        <w:contextualSpacing/>
        <w:rPr>
          <w:rFonts w:cs="Arial"/>
        </w:rPr>
      </w:pPr>
      <w:r w:rsidRPr="008925CE">
        <w:rPr>
          <w:rFonts w:cs="Arial"/>
          <w:color w:val="212121"/>
        </w:rPr>
        <w:t xml:space="preserve">Changing places for severely disabled adults pilots. </w:t>
      </w:r>
      <w:r>
        <w:rPr>
          <w:rFonts w:cs="Arial"/>
          <w:color w:val="212121"/>
        </w:rPr>
        <w:t xml:space="preserve"> </w:t>
      </w:r>
      <w:r w:rsidRPr="008925CE">
        <w:rPr>
          <w:rFonts w:cs="Arial"/>
          <w:color w:val="212121"/>
        </w:rPr>
        <w:t xml:space="preserve">A </w:t>
      </w:r>
      <w:r w:rsidRPr="008925CE">
        <w:rPr>
          <w:rFonts w:cs="Arial"/>
          <w:b/>
          <w:color w:val="212121"/>
        </w:rPr>
        <w:t>£0.084m</w:t>
      </w:r>
      <w:r w:rsidRPr="008925CE">
        <w:rPr>
          <w:rFonts w:cs="Arial"/>
          <w:color w:val="212121"/>
        </w:rPr>
        <w:t xml:space="preserve"> tender has been received for completion in February 2018 for Preston Chapel Yard. </w:t>
      </w:r>
      <w:r>
        <w:rPr>
          <w:rFonts w:cs="Arial"/>
          <w:color w:val="212121"/>
        </w:rPr>
        <w:t xml:space="preserve"> </w:t>
      </w:r>
      <w:r w:rsidRPr="008925CE">
        <w:rPr>
          <w:rFonts w:cs="Arial"/>
        </w:rPr>
        <w:t>These monies have come from prior year slippage</w:t>
      </w:r>
    </w:p>
    <w:p w14:paraId="50309C93" w14:textId="77777777" w:rsidR="00B75C24" w:rsidRPr="008925CE" w:rsidRDefault="00B75C24" w:rsidP="00B75C24">
      <w:pPr>
        <w:tabs>
          <w:tab w:val="left" w:pos="567"/>
        </w:tabs>
        <w:spacing w:after="0"/>
        <w:ind w:left="567" w:right="-613" w:hanging="567"/>
        <w:contextualSpacing/>
        <w:rPr>
          <w:rFonts w:cs="Arial"/>
        </w:rPr>
      </w:pPr>
    </w:p>
    <w:p w14:paraId="73F38958" w14:textId="77777777" w:rsidR="00B75C24" w:rsidRPr="008925CE" w:rsidRDefault="00B75C24" w:rsidP="00B75C24">
      <w:pPr>
        <w:numPr>
          <w:ilvl w:val="0"/>
          <w:numId w:val="31"/>
        </w:numPr>
        <w:tabs>
          <w:tab w:val="left" w:pos="567"/>
        </w:tabs>
        <w:autoSpaceDE/>
        <w:autoSpaceDN/>
        <w:adjustRightInd/>
        <w:spacing w:after="0"/>
        <w:ind w:left="567" w:right="-613" w:hanging="567"/>
        <w:contextualSpacing/>
        <w:rPr>
          <w:rFonts w:cs="Arial"/>
        </w:rPr>
      </w:pPr>
      <w:r w:rsidRPr="008925CE">
        <w:rPr>
          <w:rFonts w:cs="Arial"/>
        </w:rPr>
        <w:t xml:space="preserve">An in year spend of </w:t>
      </w:r>
      <w:r w:rsidRPr="008925CE">
        <w:rPr>
          <w:rFonts w:cs="Arial"/>
          <w:b/>
          <w:color w:val="000000" w:themeColor="text1"/>
        </w:rPr>
        <w:t>£0.050m</w:t>
      </w:r>
      <w:r w:rsidRPr="008925CE">
        <w:rPr>
          <w:rFonts w:cs="Arial"/>
        </w:rPr>
        <w:t xml:space="preserve"> to fund a Preston Bus Station Changing Places project has been agreed from prior years Unallocated balances.</w:t>
      </w:r>
    </w:p>
    <w:p w14:paraId="60E8DBEB" w14:textId="77777777" w:rsidR="00B75C24" w:rsidRPr="008925CE" w:rsidRDefault="00B75C24" w:rsidP="00B75C24">
      <w:pPr>
        <w:tabs>
          <w:tab w:val="left" w:pos="567"/>
        </w:tabs>
        <w:spacing w:after="0"/>
        <w:ind w:left="567" w:right="-613" w:hanging="567"/>
        <w:contextualSpacing/>
        <w:rPr>
          <w:rFonts w:cs="Arial"/>
        </w:rPr>
      </w:pPr>
    </w:p>
    <w:p w14:paraId="6049B663" w14:textId="77777777" w:rsidR="00B75C24" w:rsidRPr="008925CE" w:rsidRDefault="00B75C24" w:rsidP="00B75C24">
      <w:pPr>
        <w:numPr>
          <w:ilvl w:val="0"/>
          <w:numId w:val="31"/>
        </w:numPr>
        <w:tabs>
          <w:tab w:val="left" w:pos="567"/>
        </w:tabs>
        <w:autoSpaceDE/>
        <w:autoSpaceDN/>
        <w:adjustRightInd/>
        <w:spacing w:after="0"/>
        <w:ind w:left="567" w:right="-613" w:hanging="567"/>
        <w:contextualSpacing/>
        <w:rPr>
          <w:rFonts w:cs="Arial"/>
        </w:rPr>
      </w:pPr>
      <w:r w:rsidRPr="008925CE">
        <w:rPr>
          <w:rFonts w:cs="Arial"/>
        </w:rPr>
        <w:t xml:space="preserve">There are also various small underspends on projects causing an in year underspend of </w:t>
      </w:r>
      <w:r w:rsidRPr="008925CE">
        <w:rPr>
          <w:rFonts w:cs="Arial"/>
          <w:b/>
        </w:rPr>
        <w:t>-£0.007m</w:t>
      </w:r>
    </w:p>
    <w:p w14:paraId="06E6E303" w14:textId="77777777" w:rsidR="00B75C24" w:rsidRPr="008925CE" w:rsidRDefault="00B75C24" w:rsidP="00B75C24">
      <w:pPr>
        <w:tabs>
          <w:tab w:val="left" w:pos="567"/>
        </w:tabs>
        <w:spacing w:after="0"/>
        <w:ind w:right="-613"/>
        <w:rPr>
          <w:rFonts w:cs="Arial"/>
        </w:rPr>
      </w:pPr>
    </w:p>
    <w:p w14:paraId="629FA4E8" w14:textId="77777777" w:rsidR="00B75C24" w:rsidRDefault="00B75C24" w:rsidP="00B75C24">
      <w:pPr>
        <w:tabs>
          <w:tab w:val="left" w:pos="567"/>
        </w:tabs>
        <w:spacing w:after="0"/>
        <w:ind w:right="-613"/>
        <w:rPr>
          <w:rFonts w:cs="Arial"/>
          <w:b/>
        </w:rPr>
      </w:pPr>
      <w:r w:rsidRPr="008925CE">
        <w:rPr>
          <w:rFonts w:cs="Arial"/>
          <w:b/>
        </w:rPr>
        <w:t>Corporate</w:t>
      </w:r>
    </w:p>
    <w:p w14:paraId="218648AD" w14:textId="77777777" w:rsidR="00B75C24" w:rsidRPr="008925CE" w:rsidRDefault="00B75C24" w:rsidP="00B75C24">
      <w:pPr>
        <w:tabs>
          <w:tab w:val="left" w:pos="567"/>
        </w:tabs>
        <w:spacing w:after="0"/>
        <w:ind w:right="-613"/>
        <w:rPr>
          <w:rFonts w:cs="Arial"/>
          <w:b/>
        </w:rPr>
      </w:pPr>
    </w:p>
    <w:p w14:paraId="379EDA02" w14:textId="5BA121E4" w:rsidR="00B75C24" w:rsidRDefault="00B75C24" w:rsidP="00B75C24">
      <w:pPr>
        <w:tabs>
          <w:tab w:val="left" w:pos="567"/>
        </w:tabs>
        <w:spacing w:after="0"/>
        <w:ind w:right="-613"/>
        <w:rPr>
          <w:rFonts w:cs="Arial"/>
          <w:b/>
        </w:rPr>
      </w:pPr>
      <w:r w:rsidRPr="008925CE">
        <w:rPr>
          <w:rFonts w:cs="Arial"/>
          <w:b/>
        </w:rPr>
        <w:t xml:space="preserve">A forecast net spend of -£5.553m less than budget is forecast on the current 2017/18 profiled delivery programme. </w:t>
      </w:r>
      <w:r w:rsidR="001B18A7">
        <w:rPr>
          <w:rFonts w:cs="Arial"/>
          <w:b/>
        </w:rPr>
        <w:t xml:space="preserve"> </w:t>
      </w:r>
      <w:r w:rsidRPr="008925CE">
        <w:rPr>
          <w:rFonts w:cs="Arial"/>
          <w:b/>
        </w:rPr>
        <w:t>This is explained as follows:</w:t>
      </w:r>
    </w:p>
    <w:p w14:paraId="641E4B4D" w14:textId="77777777" w:rsidR="00B75C24" w:rsidRPr="008925CE" w:rsidRDefault="00B75C24" w:rsidP="00B75C24">
      <w:pPr>
        <w:tabs>
          <w:tab w:val="left" w:pos="567"/>
        </w:tabs>
        <w:spacing w:after="0"/>
        <w:ind w:right="-613"/>
        <w:rPr>
          <w:rFonts w:cs="Arial"/>
          <w:b/>
        </w:rPr>
      </w:pPr>
    </w:p>
    <w:p w14:paraId="793BBB3C" w14:textId="77777777" w:rsidR="00B75C24" w:rsidRPr="008925CE" w:rsidRDefault="00B75C24" w:rsidP="00B75C24">
      <w:pPr>
        <w:pStyle w:val="ListParagraph"/>
        <w:numPr>
          <w:ilvl w:val="0"/>
          <w:numId w:val="28"/>
        </w:numPr>
        <w:tabs>
          <w:tab w:val="left" w:pos="567"/>
        </w:tabs>
        <w:autoSpaceDE/>
        <w:autoSpaceDN/>
        <w:adjustRightInd/>
        <w:spacing w:after="0"/>
        <w:ind w:left="567" w:right="-613" w:hanging="567"/>
        <w:rPr>
          <w:rFonts w:cs="Arial"/>
        </w:rPr>
      </w:pPr>
      <w:r w:rsidRPr="008925CE">
        <w:rPr>
          <w:rFonts w:cs="Arial"/>
        </w:rPr>
        <w:t xml:space="preserve">A forecast overspend in 2017/18 of </w:t>
      </w:r>
      <w:r w:rsidRPr="008925CE">
        <w:rPr>
          <w:rFonts w:cs="Arial"/>
          <w:b/>
        </w:rPr>
        <w:t>£0.500m</w:t>
      </w:r>
      <w:r w:rsidRPr="008925CE">
        <w:rPr>
          <w:rFonts w:cs="Arial"/>
        </w:rPr>
        <w:t xml:space="preserve"> on the County Hall refurbishment project. This is due to £0.100m of 2018/19 budget being spent in advance and a final forecasted project overspend of £0.400m </w:t>
      </w:r>
    </w:p>
    <w:p w14:paraId="038AED14" w14:textId="77777777" w:rsidR="00B75C24" w:rsidRPr="008925CE" w:rsidRDefault="00B75C24" w:rsidP="00B75C24">
      <w:pPr>
        <w:pStyle w:val="ListParagraph"/>
        <w:tabs>
          <w:tab w:val="left" w:pos="567"/>
        </w:tabs>
        <w:spacing w:after="0"/>
        <w:ind w:left="567" w:right="-613" w:hanging="567"/>
        <w:rPr>
          <w:rFonts w:cs="Arial"/>
        </w:rPr>
      </w:pPr>
    </w:p>
    <w:p w14:paraId="03B5CA8C" w14:textId="77777777" w:rsidR="00B75C24" w:rsidRPr="008925CE" w:rsidRDefault="00B75C24" w:rsidP="00B75C24">
      <w:pPr>
        <w:pStyle w:val="ListParagraph"/>
        <w:numPr>
          <w:ilvl w:val="0"/>
          <w:numId w:val="28"/>
        </w:numPr>
        <w:tabs>
          <w:tab w:val="left" w:pos="567"/>
        </w:tabs>
        <w:autoSpaceDE/>
        <w:autoSpaceDN/>
        <w:adjustRightInd/>
        <w:spacing w:after="0"/>
        <w:ind w:left="567" w:right="-613" w:hanging="567"/>
        <w:rPr>
          <w:rFonts w:cs="Arial"/>
        </w:rPr>
      </w:pPr>
      <w:r w:rsidRPr="008925CE">
        <w:rPr>
          <w:rFonts w:cs="Arial"/>
        </w:rPr>
        <w:t xml:space="preserve">A forecast overspend of </w:t>
      </w:r>
      <w:r w:rsidRPr="008925CE">
        <w:rPr>
          <w:rFonts w:cs="Arial"/>
          <w:b/>
        </w:rPr>
        <w:t>£0.040m</w:t>
      </w:r>
      <w:r w:rsidRPr="008925CE">
        <w:rPr>
          <w:rFonts w:cs="Arial"/>
        </w:rPr>
        <w:t xml:space="preserve"> on Cuerden Strategic Site Masterplan. </w:t>
      </w:r>
      <w:r>
        <w:rPr>
          <w:rFonts w:cs="Arial"/>
        </w:rPr>
        <w:t xml:space="preserve"> </w:t>
      </w:r>
      <w:r w:rsidRPr="008925CE">
        <w:rPr>
          <w:rFonts w:cs="Arial"/>
        </w:rPr>
        <w:t>This is due to the final delivery costs expected to cost more than budget</w:t>
      </w:r>
    </w:p>
    <w:p w14:paraId="70280BC3" w14:textId="77777777" w:rsidR="00B75C24" w:rsidRPr="008925CE" w:rsidRDefault="00B75C24" w:rsidP="00B75C24">
      <w:pPr>
        <w:pStyle w:val="ListParagraph"/>
        <w:tabs>
          <w:tab w:val="left" w:pos="567"/>
        </w:tabs>
        <w:spacing w:after="0"/>
        <w:ind w:left="567" w:right="-613" w:hanging="567"/>
        <w:rPr>
          <w:rFonts w:cs="Arial"/>
        </w:rPr>
      </w:pPr>
    </w:p>
    <w:p w14:paraId="4B582CCD" w14:textId="77777777" w:rsidR="00B75C24" w:rsidRPr="008925CE" w:rsidRDefault="00B75C24" w:rsidP="00B75C24">
      <w:pPr>
        <w:pStyle w:val="ListParagraph"/>
        <w:numPr>
          <w:ilvl w:val="0"/>
          <w:numId w:val="28"/>
        </w:numPr>
        <w:tabs>
          <w:tab w:val="left" w:pos="567"/>
        </w:tabs>
        <w:autoSpaceDE/>
        <w:autoSpaceDN/>
        <w:adjustRightInd/>
        <w:spacing w:after="0"/>
        <w:ind w:left="567" w:right="-613" w:hanging="567"/>
        <w:rPr>
          <w:rFonts w:cs="Arial"/>
        </w:rPr>
      </w:pPr>
      <w:r w:rsidRPr="008925CE">
        <w:rPr>
          <w:rFonts w:cs="Arial"/>
        </w:rPr>
        <w:t xml:space="preserve">£1.500m has been allocated from the Economic Development unallocated budget to contribute towards the funding of Lomeshaye Industrial Estate. </w:t>
      </w:r>
      <w:r>
        <w:rPr>
          <w:rFonts w:cs="Arial"/>
        </w:rPr>
        <w:t xml:space="preserve"> </w:t>
      </w:r>
      <w:r w:rsidRPr="008925CE">
        <w:rPr>
          <w:rFonts w:cs="Arial"/>
        </w:rPr>
        <w:t xml:space="preserve">The funding has been allocated in 17/18 to enable the bids to be submitted for Growth Deal funding, but is likely to cause an </w:t>
      </w:r>
      <w:r w:rsidRPr="008925CE">
        <w:rPr>
          <w:rFonts w:cs="Arial"/>
          <w:b/>
        </w:rPr>
        <w:t>-£1.500m</w:t>
      </w:r>
      <w:r w:rsidRPr="008925CE">
        <w:rPr>
          <w:rFonts w:cs="Arial"/>
        </w:rPr>
        <w:t xml:space="preserve"> in year underspend as delivery is likely to be in 2018/19. </w:t>
      </w:r>
    </w:p>
    <w:p w14:paraId="10BBA325" w14:textId="77777777" w:rsidR="00B75C24" w:rsidRPr="008925CE" w:rsidRDefault="00B75C24" w:rsidP="00B75C24">
      <w:pPr>
        <w:pStyle w:val="ListParagraph"/>
        <w:tabs>
          <w:tab w:val="left" w:pos="567"/>
        </w:tabs>
        <w:spacing w:after="0"/>
        <w:ind w:left="567" w:right="-613" w:hanging="567"/>
        <w:rPr>
          <w:rFonts w:cs="Arial"/>
        </w:rPr>
      </w:pPr>
    </w:p>
    <w:p w14:paraId="096E80C9" w14:textId="03EE0026" w:rsidR="00B75C24" w:rsidRPr="008925CE" w:rsidRDefault="00B75C24" w:rsidP="00B75C24">
      <w:pPr>
        <w:pStyle w:val="ListParagraph"/>
        <w:numPr>
          <w:ilvl w:val="0"/>
          <w:numId w:val="28"/>
        </w:numPr>
        <w:tabs>
          <w:tab w:val="left" w:pos="567"/>
        </w:tabs>
        <w:autoSpaceDE/>
        <w:autoSpaceDN/>
        <w:adjustRightInd/>
        <w:spacing w:after="0"/>
        <w:ind w:left="567" w:right="-613" w:hanging="567"/>
        <w:rPr>
          <w:rFonts w:cs="Arial"/>
        </w:rPr>
      </w:pPr>
      <w:r w:rsidRPr="008925CE">
        <w:rPr>
          <w:rFonts w:cs="Arial"/>
        </w:rPr>
        <w:t xml:space="preserve">Forecast in year underspends of </w:t>
      </w:r>
      <w:r w:rsidR="001B18A7">
        <w:rPr>
          <w:rFonts w:cs="Arial"/>
          <w:b/>
        </w:rPr>
        <w:t>-£</w:t>
      </w:r>
      <w:r w:rsidRPr="008925CE">
        <w:rPr>
          <w:rFonts w:cs="Arial"/>
          <w:b/>
        </w:rPr>
        <w:t>3.303m</w:t>
      </w:r>
      <w:r w:rsidR="001B18A7">
        <w:rPr>
          <w:rFonts w:cs="Arial"/>
        </w:rPr>
        <w:t xml:space="preserve"> </w:t>
      </w:r>
      <w:r w:rsidRPr="008925CE">
        <w:rPr>
          <w:rFonts w:cs="Arial"/>
        </w:rPr>
        <w:t>on a range of projects inc</w:t>
      </w:r>
      <w:r>
        <w:rPr>
          <w:rFonts w:cs="Arial"/>
        </w:rPr>
        <w:t xml:space="preserve">luding the property programme, </w:t>
      </w:r>
      <w:r w:rsidRPr="008925CE">
        <w:rPr>
          <w:rFonts w:cs="Arial"/>
        </w:rPr>
        <w:t>green energy programme and several ICT projects are due to delays in planned expenditure and are now forecast to be spent in future years.</w:t>
      </w:r>
    </w:p>
    <w:p w14:paraId="6F4F574A" w14:textId="77777777" w:rsidR="00B75C24" w:rsidRPr="008925CE" w:rsidRDefault="00B75C24" w:rsidP="00B75C24">
      <w:pPr>
        <w:pStyle w:val="ListParagraph"/>
        <w:tabs>
          <w:tab w:val="left" w:pos="567"/>
        </w:tabs>
        <w:spacing w:after="0"/>
        <w:ind w:left="567" w:right="-613" w:hanging="567"/>
        <w:rPr>
          <w:rFonts w:cs="Arial"/>
        </w:rPr>
      </w:pPr>
    </w:p>
    <w:p w14:paraId="51D49B88" w14:textId="77777777" w:rsidR="00B75C24" w:rsidRPr="008925CE" w:rsidRDefault="00B75C24" w:rsidP="00B75C24">
      <w:pPr>
        <w:pStyle w:val="ListParagraph"/>
        <w:numPr>
          <w:ilvl w:val="0"/>
          <w:numId w:val="28"/>
        </w:numPr>
        <w:tabs>
          <w:tab w:val="left" w:pos="567"/>
        </w:tabs>
        <w:autoSpaceDE/>
        <w:autoSpaceDN/>
        <w:adjustRightInd/>
        <w:spacing w:after="0"/>
        <w:ind w:left="567" w:right="-613" w:hanging="567"/>
        <w:rPr>
          <w:rFonts w:cs="Arial"/>
        </w:rPr>
      </w:pPr>
      <w:r w:rsidRPr="008925CE">
        <w:rPr>
          <w:rFonts w:cs="Arial"/>
        </w:rPr>
        <w:t xml:space="preserve">The Superfast Broadband project is forecasting approximately </w:t>
      </w:r>
      <w:r w:rsidRPr="008925CE">
        <w:rPr>
          <w:rFonts w:cs="Arial"/>
          <w:b/>
        </w:rPr>
        <w:t>-£3.000m</w:t>
      </w:r>
      <w:r w:rsidRPr="008925CE">
        <w:rPr>
          <w:rFonts w:cs="Arial"/>
        </w:rPr>
        <w:t xml:space="preserve"> of the 2017/18 budget to slip into future years. </w:t>
      </w:r>
      <w:r>
        <w:rPr>
          <w:rFonts w:cs="Arial"/>
        </w:rPr>
        <w:t xml:space="preserve"> </w:t>
      </w:r>
      <w:r w:rsidRPr="008925CE">
        <w:rPr>
          <w:rFonts w:cs="Arial"/>
        </w:rPr>
        <w:t>The first payments for 2017/18 were only made in December 2017 so the majority of the 2017/18 delivery programme is expected to slip into 2018/19.</w:t>
      </w:r>
    </w:p>
    <w:p w14:paraId="645F8EBD" w14:textId="77777777" w:rsidR="00B75C24" w:rsidRPr="008925CE" w:rsidRDefault="00B75C24" w:rsidP="00B75C24">
      <w:pPr>
        <w:pStyle w:val="ListParagraph"/>
        <w:tabs>
          <w:tab w:val="left" w:pos="567"/>
        </w:tabs>
        <w:spacing w:after="0"/>
        <w:ind w:left="567" w:right="-613" w:hanging="567"/>
        <w:rPr>
          <w:rFonts w:cs="Arial"/>
        </w:rPr>
      </w:pPr>
    </w:p>
    <w:p w14:paraId="40F3DCCD" w14:textId="77777777" w:rsidR="00B75C24" w:rsidRPr="008925CE" w:rsidRDefault="00B75C24" w:rsidP="00B75C24">
      <w:pPr>
        <w:pStyle w:val="ListParagraph"/>
        <w:numPr>
          <w:ilvl w:val="0"/>
          <w:numId w:val="28"/>
        </w:numPr>
        <w:tabs>
          <w:tab w:val="left" w:pos="567"/>
        </w:tabs>
        <w:autoSpaceDE/>
        <w:autoSpaceDN/>
        <w:adjustRightInd/>
        <w:spacing w:after="0"/>
        <w:ind w:left="567" w:right="-613" w:hanging="567"/>
        <w:rPr>
          <w:rFonts w:cs="Arial"/>
        </w:rPr>
      </w:pPr>
      <w:r w:rsidRPr="008925CE">
        <w:rPr>
          <w:rFonts w:cs="Arial"/>
        </w:rPr>
        <w:t xml:space="preserve">A forecast overspend of </w:t>
      </w:r>
      <w:r w:rsidRPr="008925CE">
        <w:rPr>
          <w:rFonts w:cs="Arial"/>
          <w:b/>
          <w:bCs/>
        </w:rPr>
        <w:t>£1.710</w:t>
      </w:r>
      <w:r w:rsidRPr="008925CE">
        <w:rPr>
          <w:rFonts w:cs="Arial"/>
        </w:rPr>
        <w:t xml:space="preserve"> on the Core System Transformation. </w:t>
      </w:r>
      <w:r>
        <w:rPr>
          <w:rFonts w:cs="Arial"/>
        </w:rPr>
        <w:t xml:space="preserve"> </w:t>
      </w:r>
      <w:r w:rsidRPr="008925CE">
        <w:rPr>
          <w:rFonts w:cs="Arial"/>
        </w:rPr>
        <w:t xml:space="preserve">This is due to the increased costs of the Oracle modules and other spend on projects which were already over budget in previous years. </w:t>
      </w:r>
    </w:p>
    <w:p w14:paraId="666A6CC7" w14:textId="77777777" w:rsidR="00B75C24" w:rsidRPr="008925CE" w:rsidRDefault="00B75C24" w:rsidP="00B75C24">
      <w:pPr>
        <w:pStyle w:val="ListParagraph"/>
        <w:tabs>
          <w:tab w:val="left" w:pos="567"/>
        </w:tabs>
        <w:spacing w:after="0"/>
        <w:ind w:left="0" w:right="-613"/>
        <w:rPr>
          <w:rFonts w:cs="Arial"/>
        </w:rPr>
      </w:pPr>
    </w:p>
    <w:p w14:paraId="7571C60B" w14:textId="77777777" w:rsidR="001B18A7" w:rsidRDefault="001B18A7">
      <w:pPr>
        <w:autoSpaceDE/>
        <w:autoSpaceDN/>
        <w:adjustRightInd/>
        <w:spacing w:after="0"/>
        <w:jc w:val="left"/>
        <w:rPr>
          <w:rFonts w:cs="Arial"/>
          <w:b/>
        </w:rPr>
      </w:pPr>
      <w:r>
        <w:rPr>
          <w:rFonts w:cs="Arial"/>
          <w:b/>
        </w:rPr>
        <w:br w:type="page"/>
      </w:r>
    </w:p>
    <w:p w14:paraId="1BDBF300" w14:textId="5C8856AB" w:rsidR="00B75C24" w:rsidRDefault="00B75C24" w:rsidP="00B75C24">
      <w:pPr>
        <w:tabs>
          <w:tab w:val="left" w:pos="567"/>
        </w:tabs>
        <w:spacing w:after="0"/>
        <w:ind w:right="-613"/>
        <w:rPr>
          <w:rFonts w:cs="Arial"/>
          <w:b/>
        </w:rPr>
      </w:pPr>
      <w:r w:rsidRPr="008925CE">
        <w:rPr>
          <w:rFonts w:cs="Arial"/>
          <w:b/>
        </w:rPr>
        <w:lastRenderedPageBreak/>
        <w:t>Vehicles</w:t>
      </w:r>
    </w:p>
    <w:p w14:paraId="6005FF45" w14:textId="77777777" w:rsidR="00B75C24" w:rsidRDefault="00B75C24" w:rsidP="00B75C24">
      <w:pPr>
        <w:tabs>
          <w:tab w:val="left" w:pos="567"/>
        </w:tabs>
        <w:spacing w:after="0"/>
        <w:ind w:right="-613"/>
        <w:rPr>
          <w:rFonts w:cs="Arial"/>
          <w:b/>
        </w:rPr>
      </w:pPr>
    </w:p>
    <w:p w14:paraId="28C791BA" w14:textId="079A75B1" w:rsidR="001B18A7" w:rsidRDefault="001B18A7" w:rsidP="00B75C24">
      <w:pPr>
        <w:tabs>
          <w:tab w:val="left" w:pos="567"/>
        </w:tabs>
        <w:spacing w:after="0"/>
        <w:ind w:right="-613"/>
        <w:rPr>
          <w:rFonts w:cs="Arial"/>
          <w:b/>
        </w:rPr>
      </w:pPr>
      <w:r w:rsidRPr="008925CE">
        <w:rPr>
          <w:rFonts w:eastAsia="Times New Roman" w:cs="Arial"/>
          <w:lang w:eastAsia="en-GB"/>
        </w:rPr>
        <w:t xml:space="preserve">Forecast overspend of </w:t>
      </w:r>
      <w:r w:rsidRPr="004254F1">
        <w:rPr>
          <w:rFonts w:eastAsia="Times New Roman" w:cs="Arial"/>
          <w:b/>
          <w:lang w:eastAsia="en-GB"/>
        </w:rPr>
        <w:t>£0.270m</w:t>
      </w:r>
      <w:r>
        <w:rPr>
          <w:rFonts w:eastAsia="Times New Roman" w:cs="Arial"/>
          <w:lang w:eastAsia="en-GB"/>
        </w:rPr>
        <w:t xml:space="preserve"> due to slippage of £0.300m </w:t>
      </w:r>
      <w:r w:rsidRPr="008925CE">
        <w:rPr>
          <w:rFonts w:eastAsia="Times New Roman" w:cs="Arial"/>
          <w:lang w:eastAsia="en-GB"/>
        </w:rPr>
        <w:t>due to longer than anticipated lead in times for some vehicles and an over</w:t>
      </w:r>
      <w:r>
        <w:rPr>
          <w:rFonts w:eastAsia="Times New Roman" w:cs="Arial"/>
          <w:lang w:eastAsia="en-GB"/>
        </w:rPr>
        <w:t xml:space="preserve"> </w:t>
      </w:r>
      <w:r w:rsidRPr="008925CE">
        <w:rPr>
          <w:rFonts w:eastAsia="Times New Roman" w:cs="Arial"/>
          <w:lang w:eastAsia="en-GB"/>
        </w:rPr>
        <w:t xml:space="preserve">spend of £0.570m on projects carried forward from prior years.  </w:t>
      </w:r>
    </w:p>
    <w:p w14:paraId="0B2E5E9F" w14:textId="77777777" w:rsidR="001B18A7" w:rsidRPr="008925CE" w:rsidRDefault="001B18A7" w:rsidP="00B75C24">
      <w:pPr>
        <w:tabs>
          <w:tab w:val="left" w:pos="567"/>
        </w:tabs>
        <w:spacing w:after="0"/>
        <w:ind w:right="-613"/>
        <w:rPr>
          <w:rFonts w:cs="Arial"/>
          <w:b/>
        </w:rPr>
      </w:pPr>
    </w:p>
    <w:p w14:paraId="1172B9EB" w14:textId="77777777" w:rsidR="00B75C24" w:rsidRPr="008925CE" w:rsidRDefault="00B75C24" w:rsidP="00B75C24">
      <w:pPr>
        <w:rPr>
          <w:rFonts w:cs="Arial"/>
          <w:b/>
          <w:lang w:eastAsia="en-GB"/>
        </w:rPr>
      </w:pPr>
      <w:r w:rsidRPr="008925CE">
        <w:rPr>
          <w:rFonts w:cs="Arial"/>
          <w:b/>
          <w:lang w:eastAsia="en-GB"/>
        </w:rPr>
        <w:t>1.4</w:t>
      </w:r>
      <w:r>
        <w:rPr>
          <w:rFonts w:cs="Arial"/>
          <w:b/>
          <w:lang w:eastAsia="en-GB"/>
        </w:rPr>
        <w:tab/>
      </w:r>
      <w:r w:rsidRPr="008925CE">
        <w:rPr>
          <w:rFonts w:cs="Arial"/>
          <w:b/>
          <w:lang w:eastAsia="en-GB"/>
        </w:rPr>
        <w:t>Capital Programme Financing</w:t>
      </w:r>
    </w:p>
    <w:p w14:paraId="795329F5" w14:textId="77777777" w:rsidR="00B75C24" w:rsidRPr="008925CE" w:rsidRDefault="00B75C24" w:rsidP="00B75C24">
      <w:pPr>
        <w:tabs>
          <w:tab w:val="left" w:pos="567"/>
        </w:tabs>
        <w:spacing w:after="0"/>
        <w:ind w:right="-613"/>
        <w:rPr>
          <w:rFonts w:cs="Arial"/>
          <w:b/>
          <w:lang w:eastAsia="en-GB"/>
        </w:rPr>
      </w:pPr>
    </w:p>
    <w:p w14:paraId="067DA80C" w14:textId="77777777" w:rsidR="00B75C24" w:rsidRPr="008925CE" w:rsidRDefault="00B75C24" w:rsidP="00B75C24">
      <w:pPr>
        <w:tabs>
          <w:tab w:val="left" w:pos="567"/>
        </w:tabs>
        <w:spacing w:after="0"/>
        <w:ind w:right="-613"/>
        <w:rPr>
          <w:rFonts w:cs="Arial"/>
          <w:lang w:eastAsia="en-GB"/>
        </w:rPr>
      </w:pPr>
      <w:r w:rsidRPr="008925CE">
        <w:rPr>
          <w:rFonts w:cs="Arial"/>
          <w:lang w:eastAsia="en-GB"/>
        </w:rPr>
        <w:t xml:space="preserve">The Capital Programme is financed from a variety of sources and the breakdown of the anticipated spend by financing type is shown in Table </w:t>
      </w:r>
      <w:r>
        <w:rPr>
          <w:rFonts w:cs="Arial"/>
          <w:lang w:eastAsia="en-GB"/>
        </w:rPr>
        <w:t>3</w:t>
      </w:r>
      <w:r w:rsidRPr="008925CE">
        <w:rPr>
          <w:rFonts w:cs="Arial"/>
          <w:lang w:eastAsia="en-GB"/>
        </w:rPr>
        <w:t xml:space="preserve"> below.  The current anticipated spend in the years 2017/18 to 2019/20 represents the budgets of projects identified to date and their year of delivery.  Some projects (e.g. those financed by Department for transport grants in 2018/19) are not identified in the monitoring at this stage.  Once the programme of works for these future years has been approved the grants anticipated will be applied to the delivery of them.  </w:t>
      </w:r>
    </w:p>
    <w:p w14:paraId="1DA49A92" w14:textId="77777777" w:rsidR="00B75C24" w:rsidRPr="008925CE" w:rsidRDefault="00B75C24" w:rsidP="00B75C24">
      <w:pPr>
        <w:tabs>
          <w:tab w:val="left" w:pos="567"/>
        </w:tabs>
        <w:spacing w:after="0"/>
        <w:ind w:right="-613"/>
        <w:rPr>
          <w:rFonts w:cs="Arial"/>
          <w:lang w:eastAsia="en-GB"/>
        </w:rPr>
      </w:pPr>
    </w:p>
    <w:p w14:paraId="4ECA8E15" w14:textId="3354BD84" w:rsidR="00B75C24" w:rsidRDefault="00B75C24" w:rsidP="00B75C24">
      <w:pPr>
        <w:tabs>
          <w:tab w:val="left" w:pos="567"/>
        </w:tabs>
        <w:spacing w:after="0"/>
        <w:ind w:right="-613"/>
        <w:rPr>
          <w:rFonts w:cs="Arial"/>
          <w:lang w:eastAsia="en-GB"/>
        </w:rPr>
      </w:pPr>
      <w:r>
        <w:rPr>
          <w:rFonts w:cs="Arial"/>
          <w:lang w:eastAsia="en-GB"/>
        </w:rPr>
        <w:t xml:space="preserve">Table </w:t>
      </w:r>
      <w:r w:rsidR="009E4412">
        <w:rPr>
          <w:rFonts w:cs="Arial"/>
          <w:lang w:eastAsia="en-GB"/>
        </w:rPr>
        <w:t>3:</w:t>
      </w:r>
      <w:r>
        <w:rPr>
          <w:rFonts w:cs="Arial"/>
          <w:lang w:eastAsia="en-GB"/>
        </w:rPr>
        <w:t xml:space="preserve"> </w:t>
      </w:r>
      <w:r w:rsidRPr="008925CE">
        <w:rPr>
          <w:rFonts w:cs="Arial"/>
          <w:lang w:eastAsia="en-GB"/>
        </w:rPr>
        <w:t>Three year Capital Programme Financing</w:t>
      </w:r>
    </w:p>
    <w:p w14:paraId="4BB99A90" w14:textId="77777777" w:rsidR="00B75C24" w:rsidRPr="008925CE" w:rsidRDefault="00B75C24" w:rsidP="00B75C24">
      <w:pPr>
        <w:tabs>
          <w:tab w:val="left" w:pos="567"/>
        </w:tabs>
        <w:spacing w:after="0"/>
        <w:ind w:right="-613"/>
        <w:rPr>
          <w:rFonts w:cs="Arial"/>
          <w:lang w:eastAsia="en-GB"/>
        </w:rPr>
      </w:pPr>
    </w:p>
    <w:tbl>
      <w:tblPr>
        <w:tblStyle w:val="TableGrid"/>
        <w:tblW w:w="7797" w:type="dxa"/>
        <w:tblInd w:w="-5" w:type="dxa"/>
        <w:tblLayout w:type="fixed"/>
        <w:tblLook w:val="04A0" w:firstRow="1" w:lastRow="0" w:firstColumn="1" w:lastColumn="0" w:noHBand="0" w:noVBand="1"/>
      </w:tblPr>
      <w:tblGrid>
        <w:gridCol w:w="3970"/>
        <w:gridCol w:w="1276"/>
        <w:gridCol w:w="1275"/>
        <w:gridCol w:w="1276"/>
      </w:tblGrid>
      <w:tr w:rsidR="006578AC" w:rsidRPr="00CC1295" w14:paraId="01919E7D" w14:textId="77777777" w:rsidTr="006578AC">
        <w:trPr>
          <w:trHeight w:val="416"/>
        </w:trPr>
        <w:tc>
          <w:tcPr>
            <w:tcW w:w="3970" w:type="dxa"/>
          </w:tcPr>
          <w:p w14:paraId="69B45D19" w14:textId="77777777" w:rsidR="006578AC" w:rsidRPr="00CC1295" w:rsidRDefault="006578AC" w:rsidP="00805F51">
            <w:pPr>
              <w:rPr>
                <w:rFonts w:cs="Arial"/>
              </w:rPr>
            </w:pPr>
            <w:r w:rsidRPr="00CC1295">
              <w:rPr>
                <w:rFonts w:cs="Arial"/>
              </w:rPr>
              <w:t>Anticipated Spend</w:t>
            </w:r>
          </w:p>
        </w:tc>
        <w:tc>
          <w:tcPr>
            <w:tcW w:w="1276" w:type="dxa"/>
          </w:tcPr>
          <w:p w14:paraId="27B971E5" w14:textId="77777777" w:rsidR="006578AC" w:rsidRDefault="006578AC" w:rsidP="009D6093">
            <w:pPr>
              <w:spacing w:after="0"/>
              <w:jc w:val="right"/>
              <w:rPr>
                <w:rFonts w:cs="Arial"/>
              </w:rPr>
            </w:pPr>
            <w:r w:rsidRPr="00CC1295">
              <w:rPr>
                <w:rFonts w:cs="Arial"/>
              </w:rPr>
              <w:t>2017/18</w:t>
            </w:r>
          </w:p>
          <w:p w14:paraId="4764654B" w14:textId="105318B7" w:rsidR="009E4412" w:rsidRPr="00CC1295" w:rsidRDefault="009E4412" w:rsidP="009D6093">
            <w:pPr>
              <w:spacing w:after="0"/>
              <w:jc w:val="right"/>
              <w:rPr>
                <w:rFonts w:cs="Arial"/>
              </w:rPr>
            </w:pPr>
            <w:r>
              <w:rPr>
                <w:rFonts w:cs="Arial"/>
              </w:rPr>
              <w:t>(£m)</w:t>
            </w:r>
          </w:p>
        </w:tc>
        <w:tc>
          <w:tcPr>
            <w:tcW w:w="1275" w:type="dxa"/>
          </w:tcPr>
          <w:p w14:paraId="5EE7D2A2" w14:textId="77777777" w:rsidR="006578AC" w:rsidRDefault="006578AC" w:rsidP="009D6093">
            <w:pPr>
              <w:spacing w:after="0"/>
              <w:jc w:val="right"/>
              <w:rPr>
                <w:rFonts w:cs="Arial"/>
              </w:rPr>
            </w:pPr>
            <w:r w:rsidRPr="00CC1295">
              <w:rPr>
                <w:rFonts w:cs="Arial"/>
              </w:rPr>
              <w:t>2018/19</w:t>
            </w:r>
          </w:p>
          <w:p w14:paraId="718EC695" w14:textId="7E888CDB" w:rsidR="009E4412" w:rsidRPr="00CC1295" w:rsidRDefault="009E4412" w:rsidP="009D6093">
            <w:pPr>
              <w:spacing w:after="0"/>
              <w:jc w:val="right"/>
              <w:rPr>
                <w:rFonts w:cs="Arial"/>
              </w:rPr>
            </w:pPr>
            <w:r>
              <w:rPr>
                <w:rFonts w:cs="Arial"/>
              </w:rPr>
              <w:t>(£m)</w:t>
            </w:r>
          </w:p>
        </w:tc>
        <w:tc>
          <w:tcPr>
            <w:tcW w:w="1276" w:type="dxa"/>
          </w:tcPr>
          <w:p w14:paraId="57909F00" w14:textId="77777777" w:rsidR="006578AC" w:rsidRDefault="006578AC" w:rsidP="009D6093">
            <w:pPr>
              <w:spacing w:after="0"/>
              <w:jc w:val="right"/>
              <w:rPr>
                <w:rFonts w:cs="Arial"/>
              </w:rPr>
            </w:pPr>
            <w:r w:rsidRPr="00CC1295">
              <w:rPr>
                <w:rFonts w:cs="Arial"/>
              </w:rPr>
              <w:t>2019/20</w:t>
            </w:r>
          </w:p>
          <w:p w14:paraId="0D654841" w14:textId="62309D23" w:rsidR="009E4412" w:rsidRPr="00CC1295" w:rsidRDefault="009E4412" w:rsidP="009D6093">
            <w:pPr>
              <w:spacing w:after="0"/>
              <w:jc w:val="right"/>
              <w:rPr>
                <w:rFonts w:cs="Arial"/>
              </w:rPr>
            </w:pPr>
            <w:r>
              <w:rPr>
                <w:rFonts w:cs="Arial"/>
              </w:rPr>
              <w:t>(£m)</w:t>
            </w:r>
          </w:p>
        </w:tc>
      </w:tr>
      <w:tr w:rsidR="006578AC" w:rsidRPr="00CC1295" w14:paraId="670DADD5" w14:textId="77777777" w:rsidTr="006578AC">
        <w:tc>
          <w:tcPr>
            <w:tcW w:w="3970" w:type="dxa"/>
          </w:tcPr>
          <w:p w14:paraId="4A79CFB7" w14:textId="77777777" w:rsidR="006578AC" w:rsidRPr="00CC1295" w:rsidRDefault="006578AC" w:rsidP="006578AC">
            <w:pPr>
              <w:spacing w:after="0"/>
              <w:rPr>
                <w:rFonts w:cs="Arial"/>
              </w:rPr>
            </w:pPr>
            <w:r w:rsidRPr="00CC1295">
              <w:rPr>
                <w:rFonts w:cs="Arial"/>
              </w:rPr>
              <w:t>Schools (exl DFC)</w:t>
            </w:r>
          </w:p>
        </w:tc>
        <w:tc>
          <w:tcPr>
            <w:tcW w:w="1276" w:type="dxa"/>
          </w:tcPr>
          <w:p w14:paraId="3E228310" w14:textId="77777777" w:rsidR="006578AC" w:rsidRPr="00CC1295" w:rsidRDefault="006578AC" w:rsidP="006578AC">
            <w:pPr>
              <w:spacing w:after="0"/>
              <w:ind w:right="104"/>
              <w:jc w:val="right"/>
              <w:rPr>
                <w:rFonts w:cs="Arial"/>
              </w:rPr>
            </w:pPr>
            <w:r>
              <w:rPr>
                <w:rFonts w:cs="Arial"/>
              </w:rPr>
              <w:t>25.388</w:t>
            </w:r>
          </w:p>
        </w:tc>
        <w:tc>
          <w:tcPr>
            <w:tcW w:w="1275" w:type="dxa"/>
          </w:tcPr>
          <w:p w14:paraId="4D0ACB1D" w14:textId="77777777" w:rsidR="006578AC" w:rsidRPr="00CC1295" w:rsidRDefault="006578AC" w:rsidP="006578AC">
            <w:pPr>
              <w:spacing w:after="0"/>
              <w:ind w:right="104"/>
              <w:jc w:val="right"/>
              <w:rPr>
                <w:rFonts w:cs="Arial"/>
              </w:rPr>
            </w:pPr>
            <w:r>
              <w:rPr>
                <w:rFonts w:cs="Arial"/>
              </w:rPr>
              <w:t>28.312</w:t>
            </w:r>
          </w:p>
        </w:tc>
        <w:tc>
          <w:tcPr>
            <w:tcW w:w="1276" w:type="dxa"/>
          </w:tcPr>
          <w:p w14:paraId="321EEA42" w14:textId="77777777" w:rsidR="006578AC" w:rsidRPr="00CC1295" w:rsidRDefault="006578AC" w:rsidP="006578AC">
            <w:pPr>
              <w:spacing w:after="0"/>
              <w:ind w:right="104"/>
              <w:jc w:val="right"/>
              <w:rPr>
                <w:rFonts w:cs="Arial"/>
              </w:rPr>
            </w:pPr>
            <w:r>
              <w:rPr>
                <w:rFonts w:cs="Arial"/>
              </w:rPr>
              <w:t>20.188</w:t>
            </w:r>
          </w:p>
        </w:tc>
      </w:tr>
      <w:tr w:rsidR="006578AC" w:rsidRPr="00CC1295" w14:paraId="6F234BF2" w14:textId="77777777" w:rsidTr="006578AC">
        <w:tc>
          <w:tcPr>
            <w:tcW w:w="3970" w:type="dxa"/>
          </w:tcPr>
          <w:p w14:paraId="12D2A5A4" w14:textId="77777777" w:rsidR="006578AC" w:rsidRPr="00CC1295" w:rsidRDefault="006578AC" w:rsidP="006578AC">
            <w:pPr>
              <w:spacing w:after="0"/>
              <w:rPr>
                <w:rFonts w:cs="Arial"/>
              </w:rPr>
            </w:pPr>
            <w:r w:rsidRPr="00CC1295">
              <w:rPr>
                <w:rFonts w:cs="Arial"/>
              </w:rPr>
              <w:t>Schools DFC</w:t>
            </w:r>
          </w:p>
        </w:tc>
        <w:tc>
          <w:tcPr>
            <w:tcW w:w="1276" w:type="dxa"/>
          </w:tcPr>
          <w:p w14:paraId="36292F37" w14:textId="77777777" w:rsidR="006578AC" w:rsidRPr="00CC1295" w:rsidRDefault="006578AC" w:rsidP="006578AC">
            <w:pPr>
              <w:spacing w:after="0"/>
              <w:ind w:right="104"/>
              <w:jc w:val="right"/>
              <w:rPr>
                <w:rFonts w:cs="Arial"/>
              </w:rPr>
            </w:pPr>
            <w:r>
              <w:rPr>
                <w:rFonts w:cs="Arial"/>
              </w:rPr>
              <w:t>7.523</w:t>
            </w:r>
          </w:p>
        </w:tc>
        <w:tc>
          <w:tcPr>
            <w:tcW w:w="1275" w:type="dxa"/>
          </w:tcPr>
          <w:p w14:paraId="65051204" w14:textId="77777777" w:rsidR="006578AC" w:rsidRPr="00CC1295" w:rsidRDefault="006578AC" w:rsidP="006578AC">
            <w:pPr>
              <w:spacing w:after="0"/>
              <w:ind w:right="104"/>
              <w:jc w:val="right"/>
              <w:rPr>
                <w:rFonts w:cs="Arial"/>
              </w:rPr>
            </w:pPr>
            <w:r>
              <w:rPr>
                <w:rFonts w:cs="Arial"/>
              </w:rPr>
              <w:t>2.629</w:t>
            </w:r>
          </w:p>
        </w:tc>
        <w:tc>
          <w:tcPr>
            <w:tcW w:w="1276" w:type="dxa"/>
          </w:tcPr>
          <w:p w14:paraId="0E9116C5" w14:textId="77777777" w:rsidR="006578AC" w:rsidRPr="00CC1295" w:rsidRDefault="006578AC" w:rsidP="006578AC">
            <w:pPr>
              <w:spacing w:after="0"/>
              <w:ind w:right="104"/>
              <w:jc w:val="right"/>
              <w:rPr>
                <w:rFonts w:cs="Arial"/>
              </w:rPr>
            </w:pPr>
            <w:r>
              <w:rPr>
                <w:rFonts w:cs="Arial"/>
              </w:rPr>
              <w:t>0.000</w:t>
            </w:r>
          </w:p>
        </w:tc>
      </w:tr>
      <w:tr w:rsidR="006578AC" w:rsidRPr="00CC1295" w14:paraId="3C9B395D" w14:textId="77777777" w:rsidTr="006578AC">
        <w:tc>
          <w:tcPr>
            <w:tcW w:w="3970" w:type="dxa"/>
          </w:tcPr>
          <w:p w14:paraId="38256E96" w14:textId="77777777" w:rsidR="006578AC" w:rsidRPr="00CC1295" w:rsidRDefault="006578AC" w:rsidP="006578AC">
            <w:pPr>
              <w:spacing w:after="0"/>
              <w:rPr>
                <w:rFonts w:cs="Arial"/>
              </w:rPr>
            </w:pPr>
            <w:r w:rsidRPr="00CC1295">
              <w:rPr>
                <w:rFonts w:cs="Arial"/>
              </w:rPr>
              <w:t>Children and Young People</w:t>
            </w:r>
          </w:p>
        </w:tc>
        <w:tc>
          <w:tcPr>
            <w:tcW w:w="1276" w:type="dxa"/>
          </w:tcPr>
          <w:p w14:paraId="0F104B15" w14:textId="77777777" w:rsidR="006578AC" w:rsidRPr="00CC1295" w:rsidRDefault="006578AC" w:rsidP="006578AC">
            <w:pPr>
              <w:spacing w:after="0"/>
              <w:ind w:right="104"/>
              <w:jc w:val="right"/>
              <w:rPr>
                <w:rFonts w:cs="Arial"/>
              </w:rPr>
            </w:pPr>
            <w:r>
              <w:rPr>
                <w:rFonts w:cs="Arial"/>
              </w:rPr>
              <w:t>7.961</w:t>
            </w:r>
          </w:p>
        </w:tc>
        <w:tc>
          <w:tcPr>
            <w:tcW w:w="1275" w:type="dxa"/>
          </w:tcPr>
          <w:p w14:paraId="7F1D2F41" w14:textId="77777777" w:rsidR="006578AC" w:rsidRPr="00CC1295" w:rsidRDefault="006578AC" w:rsidP="006578AC">
            <w:pPr>
              <w:spacing w:after="0"/>
              <w:ind w:right="104"/>
              <w:jc w:val="right"/>
              <w:rPr>
                <w:rFonts w:cs="Arial"/>
              </w:rPr>
            </w:pPr>
            <w:r>
              <w:rPr>
                <w:rFonts w:cs="Arial"/>
              </w:rPr>
              <w:t>4.560</w:t>
            </w:r>
          </w:p>
        </w:tc>
        <w:tc>
          <w:tcPr>
            <w:tcW w:w="1276" w:type="dxa"/>
          </w:tcPr>
          <w:p w14:paraId="1DAACD85" w14:textId="77777777" w:rsidR="006578AC" w:rsidRPr="00CC1295" w:rsidRDefault="006578AC" w:rsidP="006578AC">
            <w:pPr>
              <w:spacing w:after="0"/>
              <w:ind w:right="104"/>
              <w:jc w:val="right"/>
              <w:rPr>
                <w:rFonts w:cs="Arial"/>
              </w:rPr>
            </w:pPr>
            <w:r>
              <w:rPr>
                <w:rFonts w:cs="Arial"/>
              </w:rPr>
              <w:t>3.588</w:t>
            </w:r>
          </w:p>
        </w:tc>
      </w:tr>
      <w:tr w:rsidR="006578AC" w:rsidRPr="00CC1295" w14:paraId="049578C5" w14:textId="77777777" w:rsidTr="006578AC">
        <w:tc>
          <w:tcPr>
            <w:tcW w:w="3970" w:type="dxa"/>
          </w:tcPr>
          <w:p w14:paraId="29F47AA8" w14:textId="77777777" w:rsidR="006578AC" w:rsidRPr="00CC1295" w:rsidRDefault="006578AC" w:rsidP="006578AC">
            <w:pPr>
              <w:spacing w:after="0"/>
              <w:rPr>
                <w:rFonts w:cs="Arial"/>
              </w:rPr>
            </w:pPr>
            <w:r w:rsidRPr="00CC1295">
              <w:rPr>
                <w:rFonts w:cs="Arial"/>
              </w:rPr>
              <w:t>Highways</w:t>
            </w:r>
          </w:p>
        </w:tc>
        <w:tc>
          <w:tcPr>
            <w:tcW w:w="1276" w:type="dxa"/>
          </w:tcPr>
          <w:p w14:paraId="231238A7" w14:textId="77777777" w:rsidR="006578AC" w:rsidRPr="00CC1295" w:rsidRDefault="006578AC" w:rsidP="006578AC">
            <w:pPr>
              <w:spacing w:after="0"/>
              <w:ind w:right="104"/>
              <w:jc w:val="right"/>
              <w:rPr>
                <w:rFonts w:cs="Arial"/>
              </w:rPr>
            </w:pPr>
            <w:r>
              <w:rPr>
                <w:rFonts w:cs="Arial"/>
              </w:rPr>
              <w:t>44.064</w:t>
            </w:r>
          </w:p>
        </w:tc>
        <w:tc>
          <w:tcPr>
            <w:tcW w:w="1275" w:type="dxa"/>
          </w:tcPr>
          <w:p w14:paraId="0D142C4C" w14:textId="77777777" w:rsidR="006578AC" w:rsidRPr="00CC1295" w:rsidRDefault="006578AC" w:rsidP="006578AC">
            <w:pPr>
              <w:spacing w:after="0"/>
              <w:ind w:right="104"/>
              <w:jc w:val="right"/>
              <w:rPr>
                <w:rFonts w:cs="Arial"/>
              </w:rPr>
            </w:pPr>
            <w:r>
              <w:rPr>
                <w:rFonts w:cs="Arial"/>
              </w:rPr>
              <w:t>22.529</w:t>
            </w:r>
          </w:p>
        </w:tc>
        <w:tc>
          <w:tcPr>
            <w:tcW w:w="1276" w:type="dxa"/>
          </w:tcPr>
          <w:p w14:paraId="59F419FA" w14:textId="77777777" w:rsidR="006578AC" w:rsidRPr="00CC1295" w:rsidRDefault="006578AC" w:rsidP="006578AC">
            <w:pPr>
              <w:spacing w:after="0"/>
              <w:ind w:right="104"/>
              <w:jc w:val="right"/>
              <w:rPr>
                <w:rFonts w:cs="Arial"/>
              </w:rPr>
            </w:pPr>
            <w:r>
              <w:rPr>
                <w:rFonts w:cs="Arial"/>
              </w:rPr>
              <w:t>0.042</w:t>
            </w:r>
          </w:p>
        </w:tc>
      </w:tr>
      <w:tr w:rsidR="006578AC" w:rsidRPr="00CC1295" w14:paraId="720DD39A" w14:textId="77777777" w:rsidTr="006578AC">
        <w:tc>
          <w:tcPr>
            <w:tcW w:w="3970" w:type="dxa"/>
          </w:tcPr>
          <w:p w14:paraId="7546D516" w14:textId="77777777" w:rsidR="006578AC" w:rsidRPr="00CC1295" w:rsidRDefault="006578AC" w:rsidP="006578AC">
            <w:pPr>
              <w:spacing w:after="0"/>
              <w:rPr>
                <w:rFonts w:cs="Arial"/>
              </w:rPr>
            </w:pPr>
            <w:r w:rsidRPr="00CC1295">
              <w:rPr>
                <w:rFonts w:cs="Arial"/>
              </w:rPr>
              <w:t>Transport</w:t>
            </w:r>
          </w:p>
        </w:tc>
        <w:tc>
          <w:tcPr>
            <w:tcW w:w="1276" w:type="dxa"/>
          </w:tcPr>
          <w:p w14:paraId="39699DAF" w14:textId="77777777" w:rsidR="006578AC" w:rsidRPr="00CC1295" w:rsidRDefault="006578AC" w:rsidP="006578AC">
            <w:pPr>
              <w:spacing w:after="0"/>
              <w:ind w:right="104"/>
              <w:jc w:val="right"/>
              <w:rPr>
                <w:rFonts w:cs="Arial"/>
              </w:rPr>
            </w:pPr>
            <w:r>
              <w:rPr>
                <w:rFonts w:cs="Arial"/>
              </w:rPr>
              <w:t>36.415</w:t>
            </w:r>
          </w:p>
        </w:tc>
        <w:tc>
          <w:tcPr>
            <w:tcW w:w="1275" w:type="dxa"/>
          </w:tcPr>
          <w:p w14:paraId="23D3239C" w14:textId="77777777" w:rsidR="006578AC" w:rsidRPr="00CC1295" w:rsidRDefault="006578AC" w:rsidP="006578AC">
            <w:pPr>
              <w:spacing w:after="0"/>
              <w:ind w:right="104"/>
              <w:jc w:val="right"/>
              <w:rPr>
                <w:rFonts w:cs="Arial"/>
              </w:rPr>
            </w:pPr>
            <w:r>
              <w:rPr>
                <w:rFonts w:cs="Arial"/>
              </w:rPr>
              <w:t>19.638</w:t>
            </w:r>
          </w:p>
        </w:tc>
        <w:tc>
          <w:tcPr>
            <w:tcW w:w="1276" w:type="dxa"/>
          </w:tcPr>
          <w:p w14:paraId="7609D3C3" w14:textId="77777777" w:rsidR="006578AC" w:rsidRPr="00CC1295" w:rsidRDefault="006578AC" w:rsidP="006578AC">
            <w:pPr>
              <w:spacing w:after="0"/>
              <w:ind w:right="104"/>
              <w:jc w:val="right"/>
              <w:rPr>
                <w:rFonts w:cs="Arial"/>
              </w:rPr>
            </w:pPr>
            <w:r>
              <w:rPr>
                <w:rFonts w:cs="Arial"/>
              </w:rPr>
              <w:t>0.840</w:t>
            </w:r>
          </w:p>
        </w:tc>
      </w:tr>
      <w:tr w:rsidR="006578AC" w:rsidRPr="00CC1295" w14:paraId="4ED4384A" w14:textId="77777777" w:rsidTr="006578AC">
        <w:tc>
          <w:tcPr>
            <w:tcW w:w="3970" w:type="dxa"/>
          </w:tcPr>
          <w:p w14:paraId="177BAD37" w14:textId="77777777" w:rsidR="006578AC" w:rsidRPr="00CC1295" w:rsidRDefault="006578AC" w:rsidP="006578AC">
            <w:pPr>
              <w:spacing w:after="0"/>
              <w:rPr>
                <w:rFonts w:cs="Arial"/>
              </w:rPr>
            </w:pPr>
            <w:r w:rsidRPr="00CC1295">
              <w:rPr>
                <w:rFonts w:cs="Arial"/>
              </w:rPr>
              <w:t>Waste and Other</w:t>
            </w:r>
          </w:p>
        </w:tc>
        <w:tc>
          <w:tcPr>
            <w:tcW w:w="1276" w:type="dxa"/>
          </w:tcPr>
          <w:p w14:paraId="7EB0CA9A" w14:textId="77777777" w:rsidR="006578AC" w:rsidRPr="00CC1295" w:rsidRDefault="006578AC" w:rsidP="006578AC">
            <w:pPr>
              <w:spacing w:after="0"/>
              <w:ind w:right="104"/>
              <w:jc w:val="right"/>
              <w:rPr>
                <w:rFonts w:cs="Arial"/>
              </w:rPr>
            </w:pPr>
            <w:r>
              <w:rPr>
                <w:rFonts w:cs="Arial"/>
              </w:rPr>
              <w:t>2.899</w:t>
            </w:r>
          </w:p>
        </w:tc>
        <w:tc>
          <w:tcPr>
            <w:tcW w:w="1275" w:type="dxa"/>
          </w:tcPr>
          <w:p w14:paraId="5F597BEA" w14:textId="77777777" w:rsidR="006578AC" w:rsidRPr="00CC1295" w:rsidRDefault="006578AC" w:rsidP="006578AC">
            <w:pPr>
              <w:spacing w:after="0"/>
              <w:ind w:right="104"/>
              <w:jc w:val="right"/>
              <w:rPr>
                <w:rFonts w:cs="Arial"/>
              </w:rPr>
            </w:pPr>
            <w:r>
              <w:rPr>
                <w:rFonts w:cs="Arial"/>
              </w:rPr>
              <w:t>0.100</w:t>
            </w:r>
          </w:p>
        </w:tc>
        <w:tc>
          <w:tcPr>
            <w:tcW w:w="1276" w:type="dxa"/>
          </w:tcPr>
          <w:p w14:paraId="06F3B786" w14:textId="77777777" w:rsidR="006578AC" w:rsidRPr="00CC1295" w:rsidRDefault="006578AC" w:rsidP="006578AC">
            <w:pPr>
              <w:spacing w:after="0"/>
              <w:ind w:right="104"/>
              <w:jc w:val="right"/>
              <w:rPr>
                <w:rFonts w:cs="Arial"/>
              </w:rPr>
            </w:pPr>
          </w:p>
        </w:tc>
      </w:tr>
      <w:tr w:rsidR="006578AC" w:rsidRPr="00CC1295" w14:paraId="04739B9B" w14:textId="77777777" w:rsidTr="006578AC">
        <w:tc>
          <w:tcPr>
            <w:tcW w:w="3970" w:type="dxa"/>
          </w:tcPr>
          <w:p w14:paraId="3E8059F5" w14:textId="77777777" w:rsidR="006578AC" w:rsidRPr="00CC1295" w:rsidRDefault="006578AC" w:rsidP="006578AC">
            <w:pPr>
              <w:spacing w:after="0"/>
              <w:rPr>
                <w:rFonts w:cs="Arial"/>
              </w:rPr>
            </w:pPr>
            <w:r w:rsidRPr="00CC1295">
              <w:rPr>
                <w:rFonts w:cs="Arial"/>
              </w:rPr>
              <w:t>Adults Social Care</w:t>
            </w:r>
          </w:p>
        </w:tc>
        <w:tc>
          <w:tcPr>
            <w:tcW w:w="1276" w:type="dxa"/>
          </w:tcPr>
          <w:p w14:paraId="5D07D522" w14:textId="77777777" w:rsidR="006578AC" w:rsidRPr="00CC1295" w:rsidRDefault="006578AC" w:rsidP="006578AC">
            <w:pPr>
              <w:spacing w:after="0"/>
              <w:ind w:right="104"/>
              <w:jc w:val="right"/>
              <w:rPr>
                <w:rFonts w:cs="Arial"/>
              </w:rPr>
            </w:pPr>
            <w:r>
              <w:rPr>
                <w:rFonts w:cs="Arial"/>
              </w:rPr>
              <w:t>12.769</w:t>
            </w:r>
          </w:p>
        </w:tc>
        <w:tc>
          <w:tcPr>
            <w:tcW w:w="1275" w:type="dxa"/>
          </w:tcPr>
          <w:p w14:paraId="10885DFC" w14:textId="77777777" w:rsidR="006578AC" w:rsidRPr="00CC1295" w:rsidRDefault="006578AC" w:rsidP="006578AC">
            <w:pPr>
              <w:spacing w:after="0"/>
              <w:ind w:right="104"/>
              <w:jc w:val="right"/>
              <w:rPr>
                <w:rFonts w:cs="Arial"/>
              </w:rPr>
            </w:pPr>
            <w:r>
              <w:rPr>
                <w:rFonts w:cs="Arial"/>
              </w:rPr>
              <w:t>7.808</w:t>
            </w:r>
          </w:p>
        </w:tc>
        <w:tc>
          <w:tcPr>
            <w:tcW w:w="1276" w:type="dxa"/>
          </w:tcPr>
          <w:p w14:paraId="5A8A3DD9" w14:textId="77777777" w:rsidR="006578AC" w:rsidRPr="00CC1295" w:rsidRDefault="006578AC" w:rsidP="006578AC">
            <w:pPr>
              <w:spacing w:after="0"/>
              <w:ind w:right="104"/>
              <w:jc w:val="right"/>
              <w:rPr>
                <w:rFonts w:cs="Arial"/>
              </w:rPr>
            </w:pPr>
            <w:r>
              <w:rPr>
                <w:rFonts w:cs="Arial"/>
              </w:rPr>
              <w:t>6.061</w:t>
            </w:r>
          </w:p>
        </w:tc>
      </w:tr>
      <w:tr w:rsidR="006578AC" w:rsidRPr="00CC1295" w14:paraId="711C646D" w14:textId="77777777" w:rsidTr="006578AC">
        <w:tc>
          <w:tcPr>
            <w:tcW w:w="3970" w:type="dxa"/>
          </w:tcPr>
          <w:p w14:paraId="622540C1" w14:textId="77777777" w:rsidR="006578AC" w:rsidRPr="00CC1295" w:rsidRDefault="006578AC" w:rsidP="006578AC">
            <w:pPr>
              <w:spacing w:after="0"/>
              <w:rPr>
                <w:rFonts w:cs="Arial"/>
              </w:rPr>
            </w:pPr>
            <w:r w:rsidRPr="00CC1295">
              <w:rPr>
                <w:rFonts w:cs="Arial"/>
              </w:rPr>
              <w:t>Corporate</w:t>
            </w:r>
          </w:p>
        </w:tc>
        <w:tc>
          <w:tcPr>
            <w:tcW w:w="1276" w:type="dxa"/>
          </w:tcPr>
          <w:p w14:paraId="4A3215D6" w14:textId="77777777" w:rsidR="006578AC" w:rsidRPr="00CC1295" w:rsidRDefault="006578AC" w:rsidP="006578AC">
            <w:pPr>
              <w:spacing w:after="0"/>
              <w:ind w:right="104"/>
              <w:jc w:val="right"/>
              <w:rPr>
                <w:rFonts w:cs="Arial"/>
              </w:rPr>
            </w:pPr>
            <w:r>
              <w:rPr>
                <w:rFonts w:cs="Arial"/>
              </w:rPr>
              <w:t>15.202</w:t>
            </w:r>
          </w:p>
        </w:tc>
        <w:tc>
          <w:tcPr>
            <w:tcW w:w="1275" w:type="dxa"/>
          </w:tcPr>
          <w:p w14:paraId="7E7C97E4" w14:textId="77777777" w:rsidR="006578AC" w:rsidRPr="00CC1295" w:rsidRDefault="006578AC" w:rsidP="006578AC">
            <w:pPr>
              <w:spacing w:after="0"/>
              <w:ind w:right="104"/>
              <w:jc w:val="right"/>
              <w:rPr>
                <w:rFonts w:cs="Arial"/>
              </w:rPr>
            </w:pPr>
            <w:r>
              <w:rPr>
                <w:rFonts w:cs="Arial"/>
              </w:rPr>
              <w:t>28.139</w:t>
            </w:r>
          </w:p>
        </w:tc>
        <w:tc>
          <w:tcPr>
            <w:tcW w:w="1276" w:type="dxa"/>
          </w:tcPr>
          <w:p w14:paraId="0CDC0E47" w14:textId="77777777" w:rsidR="006578AC" w:rsidRPr="00CC1295" w:rsidRDefault="006578AC" w:rsidP="006578AC">
            <w:pPr>
              <w:spacing w:after="0"/>
              <w:ind w:right="104"/>
              <w:jc w:val="right"/>
              <w:rPr>
                <w:rFonts w:cs="Arial"/>
              </w:rPr>
            </w:pPr>
            <w:r>
              <w:rPr>
                <w:rFonts w:cs="Arial"/>
              </w:rPr>
              <w:t>24.700</w:t>
            </w:r>
          </w:p>
        </w:tc>
      </w:tr>
      <w:tr w:rsidR="006578AC" w:rsidRPr="00CC1295" w14:paraId="5FAEF2EC" w14:textId="77777777" w:rsidTr="006578AC">
        <w:tc>
          <w:tcPr>
            <w:tcW w:w="3970" w:type="dxa"/>
          </w:tcPr>
          <w:p w14:paraId="694590FF" w14:textId="77777777" w:rsidR="006578AC" w:rsidRPr="00CC1295" w:rsidRDefault="006578AC" w:rsidP="006578AC">
            <w:pPr>
              <w:spacing w:after="0"/>
              <w:rPr>
                <w:rFonts w:cs="Arial"/>
              </w:rPr>
            </w:pPr>
            <w:r w:rsidRPr="00CC1295">
              <w:rPr>
                <w:rFonts w:cs="Arial"/>
              </w:rPr>
              <w:t>Vehicles</w:t>
            </w:r>
          </w:p>
        </w:tc>
        <w:tc>
          <w:tcPr>
            <w:tcW w:w="1276" w:type="dxa"/>
          </w:tcPr>
          <w:p w14:paraId="2CD879F4" w14:textId="77777777" w:rsidR="006578AC" w:rsidRPr="00CC1295" w:rsidRDefault="006578AC" w:rsidP="006578AC">
            <w:pPr>
              <w:spacing w:after="0"/>
              <w:ind w:right="104"/>
              <w:jc w:val="right"/>
              <w:rPr>
                <w:rFonts w:cs="Arial"/>
              </w:rPr>
            </w:pPr>
            <w:r>
              <w:rPr>
                <w:rFonts w:cs="Arial"/>
              </w:rPr>
              <w:t>3.050</w:t>
            </w:r>
          </w:p>
        </w:tc>
        <w:tc>
          <w:tcPr>
            <w:tcW w:w="1275" w:type="dxa"/>
          </w:tcPr>
          <w:p w14:paraId="07CB4E06" w14:textId="77777777" w:rsidR="006578AC" w:rsidRPr="00CC1295" w:rsidRDefault="006578AC" w:rsidP="006578AC">
            <w:pPr>
              <w:spacing w:after="0"/>
              <w:ind w:right="104"/>
              <w:jc w:val="right"/>
              <w:rPr>
                <w:rFonts w:cs="Arial"/>
              </w:rPr>
            </w:pPr>
            <w:r>
              <w:rPr>
                <w:rFonts w:cs="Arial"/>
              </w:rPr>
              <w:t>3.910</w:t>
            </w:r>
          </w:p>
        </w:tc>
        <w:tc>
          <w:tcPr>
            <w:tcW w:w="1276" w:type="dxa"/>
          </w:tcPr>
          <w:p w14:paraId="1D7D017E" w14:textId="77777777" w:rsidR="006578AC" w:rsidRPr="00CC1295" w:rsidRDefault="006578AC" w:rsidP="006578AC">
            <w:pPr>
              <w:spacing w:after="0"/>
              <w:ind w:right="104"/>
              <w:jc w:val="right"/>
              <w:rPr>
                <w:rFonts w:cs="Arial"/>
              </w:rPr>
            </w:pPr>
            <w:r>
              <w:rPr>
                <w:rFonts w:cs="Arial"/>
              </w:rPr>
              <w:t>0.000</w:t>
            </w:r>
          </w:p>
        </w:tc>
      </w:tr>
      <w:tr w:rsidR="006578AC" w:rsidRPr="00CC1295" w14:paraId="5F547448" w14:textId="77777777" w:rsidTr="006578AC">
        <w:tc>
          <w:tcPr>
            <w:tcW w:w="3970" w:type="dxa"/>
            <w:tcBorders>
              <w:bottom w:val="single" w:sz="4" w:space="0" w:color="auto"/>
            </w:tcBorders>
          </w:tcPr>
          <w:p w14:paraId="55AA31C2" w14:textId="77777777" w:rsidR="006578AC" w:rsidRPr="00CC1295" w:rsidRDefault="006578AC" w:rsidP="006578AC">
            <w:pPr>
              <w:spacing w:after="0"/>
              <w:rPr>
                <w:rFonts w:cs="Arial"/>
                <w:b/>
              </w:rPr>
            </w:pPr>
            <w:r w:rsidRPr="00CC1295">
              <w:rPr>
                <w:rFonts w:cs="Arial"/>
                <w:b/>
              </w:rPr>
              <w:t>Totals</w:t>
            </w:r>
          </w:p>
        </w:tc>
        <w:tc>
          <w:tcPr>
            <w:tcW w:w="1276" w:type="dxa"/>
            <w:tcBorders>
              <w:bottom w:val="single" w:sz="4" w:space="0" w:color="auto"/>
            </w:tcBorders>
          </w:tcPr>
          <w:p w14:paraId="7D43BA23" w14:textId="77777777" w:rsidR="006578AC" w:rsidRPr="00CC1295" w:rsidRDefault="006578AC" w:rsidP="006578AC">
            <w:pPr>
              <w:spacing w:after="0"/>
              <w:ind w:right="104"/>
              <w:jc w:val="right"/>
              <w:rPr>
                <w:rFonts w:cs="Arial"/>
                <w:b/>
              </w:rPr>
            </w:pPr>
            <w:r>
              <w:rPr>
                <w:rFonts w:cs="Arial"/>
                <w:b/>
              </w:rPr>
              <w:t>155.271</w:t>
            </w:r>
          </w:p>
        </w:tc>
        <w:tc>
          <w:tcPr>
            <w:tcW w:w="1275" w:type="dxa"/>
            <w:tcBorders>
              <w:bottom w:val="single" w:sz="4" w:space="0" w:color="auto"/>
            </w:tcBorders>
          </w:tcPr>
          <w:p w14:paraId="2A48C8AD" w14:textId="77777777" w:rsidR="006578AC" w:rsidRPr="00CC1295" w:rsidRDefault="006578AC" w:rsidP="006578AC">
            <w:pPr>
              <w:spacing w:after="0"/>
              <w:ind w:right="104"/>
              <w:jc w:val="right"/>
              <w:rPr>
                <w:rFonts w:cs="Arial"/>
                <w:b/>
              </w:rPr>
            </w:pPr>
            <w:r>
              <w:rPr>
                <w:rFonts w:cs="Arial"/>
                <w:b/>
              </w:rPr>
              <w:t>117.625</w:t>
            </w:r>
          </w:p>
        </w:tc>
        <w:tc>
          <w:tcPr>
            <w:tcW w:w="1276" w:type="dxa"/>
            <w:tcBorders>
              <w:bottom w:val="single" w:sz="4" w:space="0" w:color="auto"/>
            </w:tcBorders>
          </w:tcPr>
          <w:p w14:paraId="45476758" w14:textId="77777777" w:rsidR="006578AC" w:rsidRPr="00CC1295" w:rsidRDefault="006578AC" w:rsidP="006578AC">
            <w:pPr>
              <w:spacing w:after="0"/>
              <w:ind w:right="104"/>
              <w:jc w:val="right"/>
              <w:rPr>
                <w:rFonts w:cs="Arial"/>
                <w:b/>
              </w:rPr>
            </w:pPr>
            <w:r>
              <w:rPr>
                <w:rFonts w:cs="Arial"/>
                <w:b/>
              </w:rPr>
              <w:t>55.419</w:t>
            </w:r>
          </w:p>
        </w:tc>
      </w:tr>
      <w:tr w:rsidR="006578AC" w:rsidRPr="00CC1295" w14:paraId="1D3A484C" w14:textId="77777777" w:rsidTr="006578AC">
        <w:tc>
          <w:tcPr>
            <w:tcW w:w="3970" w:type="dxa"/>
            <w:tcBorders>
              <w:left w:val="nil"/>
              <w:bottom w:val="nil"/>
              <w:right w:val="nil"/>
            </w:tcBorders>
          </w:tcPr>
          <w:p w14:paraId="45FDDBC7" w14:textId="77777777" w:rsidR="006578AC" w:rsidRPr="00CC1295" w:rsidRDefault="006578AC" w:rsidP="006578AC">
            <w:pPr>
              <w:spacing w:after="0"/>
              <w:rPr>
                <w:rFonts w:cs="Arial"/>
              </w:rPr>
            </w:pPr>
          </w:p>
        </w:tc>
        <w:tc>
          <w:tcPr>
            <w:tcW w:w="1276" w:type="dxa"/>
            <w:tcBorders>
              <w:left w:val="nil"/>
              <w:bottom w:val="nil"/>
              <w:right w:val="nil"/>
            </w:tcBorders>
          </w:tcPr>
          <w:p w14:paraId="36E5312B" w14:textId="77777777" w:rsidR="006578AC" w:rsidRPr="00CC1295" w:rsidRDefault="006578AC" w:rsidP="006578AC">
            <w:pPr>
              <w:spacing w:after="0"/>
              <w:ind w:right="104"/>
              <w:jc w:val="right"/>
              <w:rPr>
                <w:rFonts w:cs="Arial"/>
              </w:rPr>
            </w:pPr>
          </w:p>
        </w:tc>
        <w:tc>
          <w:tcPr>
            <w:tcW w:w="1275" w:type="dxa"/>
            <w:tcBorders>
              <w:left w:val="nil"/>
              <w:bottom w:val="nil"/>
              <w:right w:val="nil"/>
            </w:tcBorders>
          </w:tcPr>
          <w:p w14:paraId="119C0A3A" w14:textId="77777777" w:rsidR="006578AC" w:rsidRPr="00CC1295" w:rsidRDefault="006578AC" w:rsidP="006578AC">
            <w:pPr>
              <w:spacing w:after="0"/>
              <w:ind w:right="104"/>
              <w:jc w:val="right"/>
              <w:rPr>
                <w:rFonts w:cs="Arial"/>
              </w:rPr>
            </w:pPr>
          </w:p>
        </w:tc>
        <w:tc>
          <w:tcPr>
            <w:tcW w:w="1276" w:type="dxa"/>
            <w:tcBorders>
              <w:left w:val="nil"/>
              <w:bottom w:val="nil"/>
              <w:right w:val="nil"/>
            </w:tcBorders>
          </w:tcPr>
          <w:p w14:paraId="2A41111D" w14:textId="77777777" w:rsidR="006578AC" w:rsidRPr="00CC1295" w:rsidRDefault="006578AC" w:rsidP="006578AC">
            <w:pPr>
              <w:spacing w:after="0"/>
              <w:ind w:right="104"/>
              <w:jc w:val="right"/>
              <w:rPr>
                <w:rFonts w:cs="Arial"/>
              </w:rPr>
            </w:pPr>
          </w:p>
        </w:tc>
      </w:tr>
      <w:tr w:rsidR="006578AC" w:rsidRPr="00CC1295" w14:paraId="62A841B2" w14:textId="77777777" w:rsidTr="006578AC">
        <w:tc>
          <w:tcPr>
            <w:tcW w:w="3970" w:type="dxa"/>
            <w:tcBorders>
              <w:top w:val="nil"/>
              <w:left w:val="nil"/>
              <w:bottom w:val="nil"/>
              <w:right w:val="nil"/>
            </w:tcBorders>
          </w:tcPr>
          <w:p w14:paraId="5FF45F61" w14:textId="77777777" w:rsidR="006578AC" w:rsidRPr="00CC1295" w:rsidRDefault="006578AC" w:rsidP="006578AC">
            <w:pPr>
              <w:spacing w:after="0"/>
              <w:rPr>
                <w:rFonts w:cs="Arial"/>
              </w:rPr>
            </w:pPr>
            <w:r>
              <w:rPr>
                <w:rFonts w:cs="Arial"/>
              </w:rPr>
              <w:t>Finance by:</w:t>
            </w:r>
          </w:p>
        </w:tc>
        <w:tc>
          <w:tcPr>
            <w:tcW w:w="1276" w:type="dxa"/>
            <w:tcBorders>
              <w:top w:val="nil"/>
              <w:left w:val="nil"/>
              <w:bottom w:val="nil"/>
              <w:right w:val="nil"/>
            </w:tcBorders>
          </w:tcPr>
          <w:p w14:paraId="3CFBE8ED" w14:textId="77777777" w:rsidR="006578AC" w:rsidRPr="00CC1295" w:rsidRDefault="006578AC" w:rsidP="006578AC">
            <w:pPr>
              <w:spacing w:after="0"/>
              <w:ind w:right="104"/>
              <w:jc w:val="right"/>
              <w:rPr>
                <w:rFonts w:cs="Arial"/>
              </w:rPr>
            </w:pPr>
          </w:p>
        </w:tc>
        <w:tc>
          <w:tcPr>
            <w:tcW w:w="1275" w:type="dxa"/>
            <w:tcBorders>
              <w:top w:val="nil"/>
              <w:left w:val="nil"/>
              <w:bottom w:val="nil"/>
              <w:right w:val="nil"/>
            </w:tcBorders>
          </w:tcPr>
          <w:p w14:paraId="27239A06" w14:textId="77777777" w:rsidR="006578AC" w:rsidRPr="00CC1295" w:rsidRDefault="006578AC" w:rsidP="006578AC">
            <w:pPr>
              <w:spacing w:after="0"/>
              <w:ind w:right="104"/>
              <w:jc w:val="right"/>
              <w:rPr>
                <w:rFonts w:cs="Arial"/>
              </w:rPr>
            </w:pPr>
          </w:p>
        </w:tc>
        <w:tc>
          <w:tcPr>
            <w:tcW w:w="1276" w:type="dxa"/>
            <w:tcBorders>
              <w:top w:val="nil"/>
              <w:left w:val="nil"/>
              <w:bottom w:val="nil"/>
              <w:right w:val="nil"/>
            </w:tcBorders>
          </w:tcPr>
          <w:p w14:paraId="1BD8AE6D" w14:textId="77777777" w:rsidR="006578AC" w:rsidRPr="00CC1295" w:rsidRDefault="006578AC" w:rsidP="006578AC">
            <w:pPr>
              <w:spacing w:after="0"/>
              <w:ind w:right="104"/>
              <w:jc w:val="right"/>
              <w:rPr>
                <w:rFonts w:cs="Arial"/>
              </w:rPr>
            </w:pPr>
          </w:p>
        </w:tc>
      </w:tr>
      <w:tr w:rsidR="006578AC" w:rsidRPr="00CC1295" w14:paraId="59557352" w14:textId="77777777" w:rsidTr="006578AC">
        <w:tc>
          <w:tcPr>
            <w:tcW w:w="3970" w:type="dxa"/>
            <w:tcBorders>
              <w:top w:val="nil"/>
              <w:left w:val="nil"/>
              <w:right w:val="nil"/>
            </w:tcBorders>
          </w:tcPr>
          <w:p w14:paraId="6BED290C" w14:textId="77777777" w:rsidR="006578AC" w:rsidRDefault="006578AC" w:rsidP="006578AC">
            <w:pPr>
              <w:spacing w:after="0"/>
              <w:rPr>
                <w:rFonts w:cs="Arial"/>
              </w:rPr>
            </w:pPr>
          </w:p>
        </w:tc>
        <w:tc>
          <w:tcPr>
            <w:tcW w:w="1276" w:type="dxa"/>
            <w:tcBorders>
              <w:top w:val="nil"/>
              <w:left w:val="nil"/>
              <w:right w:val="nil"/>
            </w:tcBorders>
          </w:tcPr>
          <w:p w14:paraId="044C93F8" w14:textId="77777777" w:rsidR="006578AC" w:rsidRPr="00CC1295" w:rsidRDefault="006578AC" w:rsidP="006578AC">
            <w:pPr>
              <w:spacing w:after="0"/>
              <w:ind w:right="104"/>
              <w:jc w:val="right"/>
              <w:rPr>
                <w:rFonts w:cs="Arial"/>
              </w:rPr>
            </w:pPr>
          </w:p>
        </w:tc>
        <w:tc>
          <w:tcPr>
            <w:tcW w:w="1275" w:type="dxa"/>
            <w:tcBorders>
              <w:top w:val="nil"/>
              <w:left w:val="nil"/>
              <w:right w:val="nil"/>
            </w:tcBorders>
          </w:tcPr>
          <w:p w14:paraId="08D54612" w14:textId="77777777" w:rsidR="006578AC" w:rsidRPr="00CC1295" w:rsidRDefault="006578AC" w:rsidP="006578AC">
            <w:pPr>
              <w:spacing w:after="0"/>
              <w:ind w:right="104"/>
              <w:jc w:val="right"/>
              <w:rPr>
                <w:rFonts w:cs="Arial"/>
              </w:rPr>
            </w:pPr>
          </w:p>
        </w:tc>
        <w:tc>
          <w:tcPr>
            <w:tcW w:w="1276" w:type="dxa"/>
            <w:tcBorders>
              <w:top w:val="nil"/>
              <w:left w:val="nil"/>
              <w:right w:val="nil"/>
            </w:tcBorders>
          </w:tcPr>
          <w:p w14:paraId="78EDE41F" w14:textId="77777777" w:rsidR="006578AC" w:rsidRPr="00CC1295" w:rsidRDefault="006578AC" w:rsidP="006578AC">
            <w:pPr>
              <w:spacing w:after="0"/>
              <w:ind w:right="104"/>
              <w:jc w:val="right"/>
              <w:rPr>
                <w:rFonts w:cs="Arial"/>
              </w:rPr>
            </w:pPr>
          </w:p>
        </w:tc>
      </w:tr>
      <w:tr w:rsidR="006578AC" w:rsidRPr="00CC1295" w14:paraId="7272355C" w14:textId="77777777" w:rsidTr="006578AC">
        <w:tc>
          <w:tcPr>
            <w:tcW w:w="3970" w:type="dxa"/>
          </w:tcPr>
          <w:p w14:paraId="3E35E695" w14:textId="77777777" w:rsidR="006578AC" w:rsidRDefault="006578AC" w:rsidP="006578AC">
            <w:pPr>
              <w:spacing w:after="0"/>
              <w:rPr>
                <w:rFonts w:cs="Arial"/>
              </w:rPr>
            </w:pPr>
            <w:r>
              <w:rPr>
                <w:rFonts w:cs="Arial"/>
              </w:rPr>
              <w:t>Borrowing</w:t>
            </w:r>
          </w:p>
        </w:tc>
        <w:tc>
          <w:tcPr>
            <w:tcW w:w="1276" w:type="dxa"/>
          </w:tcPr>
          <w:p w14:paraId="34DBBB25" w14:textId="77777777" w:rsidR="006578AC" w:rsidRPr="00CC1295" w:rsidRDefault="006578AC" w:rsidP="006578AC">
            <w:pPr>
              <w:spacing w:after="0"/>
              <w:ind w:right="104"/>
              <w:jc w:val="right"/>
              <w:rPr>
                <w:rFonts w:cs="Arial"/>
              </w:rPr>
            </w:pPr>
            <w:r>
              <w:rPr>
                <w:rFonts w:cs="Arial"/>
              </w:rPr>
              <w:t>84.719</w:t>
            </w:r>
          </w:p>
        </w:tc>
        <w:tc>
          <w:tcPr>
            <w:tcW w:w="1275" w:type="dxa"/>
          </w:tcPr>
          <w:p w14:paraId="6CA74C30" w14:textId="77777777" w:rsidR="006578AC" w:rsidRPr="00CC1295" w:rsidRDefault="006578AC" w:rsidP="006578AC">
            <w:pPr>
              <w:spacing w:after="0"/>
              <w:ind w:right="104"/>
              <w:jc w:val="right"/>
              <w:rPr>
                <w:rFonts w:cs="Arial"/>
              </w:rPr>
            </w:pPr>
            <w:r>
              <w:rPr>
                <w:rFonts w:cs="Arial"/>
              </w:rPr>
              <w:t>65.155</w:t>
            </w:r>
          </w:p>
        </w:tc>
        <w:tc>
          <w:tcPr>
            <w:tcW w:w="1276" w:type="dxa"/>
          </w:tcPr>
          <w:p w14:paraId="6922ADCB" w14:textId="77777777" w:rsidR="006578AC" w:rsidRPr="00CC1295" w:rsidRDefault="006578AC" w:rsidP="006578AC">
            <w:pPr>
              <w:spacing w:after="0"/>
              <w:ind w:right="104"/>
              <w:jc w:val="right"/>
              <w:rPr>
                <w:rFonts w:cs="Arial"/>
              </w:rPr>
            </w:pPr>
            <w:r>
              <w:rPr>
                <w:rFonts w:cs="Arial"/>
              </w:rPr>
              <w:t>35.189</w:t>
            </w:r>
          </w:p>
        </w:tc>
      </w:tr>
      <w:tr w:rsidR="006578AC" w:rsidRPr="00CC1295" w14:paraId="7F7481D5" w14:textId="77777777" w:rsidTr="006578AC">
        <w:tc>
          <w:tcPr>
            <w:tcW w:w="3970" w:type="dxa"/>
          </w:tcPr>
          <w:p w14:paraId="22760ADA" w14:textId="77777777" w:rsidR="006578AC" w:rsidRDefault="006578AC" w:rsidP="006578AC">
            <w:pPr>
              <w:spacing w:after="0"/>
              <w:rPr>
                <w:rFonts w:cs="Arial"/>
              </w:rPr>
            </w:pPr>
            <w:r>
              <w:rPr>
                <w:rFonts w:cs="Arial"/>
              </w:rPr>
              <w:t>Grants</w:t>
            </w:r>
          </w:p>
        </w:tc>
        <w:tc>
          <w:tcPr>
            <w:tcW w:w="1276" w:type="dxa"/>
          </w:tcPr>
          <w:p w14:paraId="258B0D90" w14:textId="77777777" w:rsidR="006578AC" w:rsidRPr="00CC1295" w:rsidRDefault="006578AC" w:rsidP="006578AC">
            <w:pPr>
              <w:spacing w:after="0"/>
              <w:ind w:right="104"/>
              <w:jc w:val="right"/>
              <w:rPr>
                <w:rFonts w:cs="Arial"/>
              </w:rPr>
            </w:pPr>
            <w:r>
              <w:rPr>
                <w:rFonts w:cs="Arial"/>
              </w:rPr>
              <w:t>66.108</w:t>
            </w:r>
          </w:p>
        </w:tc>
        <w:tc>
          <w:tcPr>
            <w:tcW w:w="1275" w:type="dxa"/>
          </w:tcPr>
          <w:p w14:paraId="629401E9" w14:textId="77777777" w:rsidR="006578AC" w:rsidRPr="00CC1295" w:rsidRDefault="006578AC" w:rsidP="006578AC">
            <w:pPr>
              <w:spacing w:after="0"/>
              <w:ind w:right="104"/>
              <w:jc w:val="right"/>
              <w:rPr>
                <w:rFonts w:cs="Arial"/>
              </w:rPr>
            </w:pPr>
            <w:r>
              <w:rPr>
                <w:rFonts w:cs="Arial"/>
              </w:rPr>
              <w:t>50.343</w:t>
            </w:r>
          </w:p>
        </w:tc>
        <w:tc>
          <w:tcPr>
            <w:tcW w:w="1276" w:type="dxa"/>
          </w:tcPr>
          <w:p w14:paraId="631A351D" w14:textId="77777777" w:rsidR="006578AC" w:rsidRPr="00CC1295" w:rsidRDefault="006578AC" w:rsidP="006578AC">
            <w:pPr>
              <w:spacing w:after="0"/>
              <w:ind w:right="104"/>
              <w:jc w:val="right"/>
              <w:rPr>
                <w:rFonts w:cs="Arial"/>
              </w:rPr>
            </w:pPr>
            <w:r>
              <w:rPr>
                <w:rFonts w:cs="Arial"/>
              </w:rPr>
              <w:t>20.230</w:t>
            </w:r>
          </w:p>
        </w:tc>
      </w:tr>
      <w:tr w:rsidR="006578AC" w:rsidRPr="00CC1295" w14:paraId="448FC5C4" w14:textId="77777777" w:rsidTr="006578AC">
        <w:tc>
          <w:tcPr>
            <w:tcW w:w="3970" w:type="dxa"/>
          </w:tcPr>
          <w:p w14:paraId="33A5C297" w14:textId="77777777" w:rsidR="006578AC" w:rsidRDefault="006578AC" w:rsidP="006578AC">
            <w:pPr>
              <w:spacing w:after="0"/>
              <w:rPr>
                <w:rFonts w:cs="Arial"/>
              </w:rPr>
            </w:pPr>
            <w:r>
              <w:rPr>
                <w:rFonts w:cs="Arial"/>
              </w:rPr>
              <w:t>Developer contributions</w:t>
            </w:r>
          </w:p>
        </w:tc>
        <w:tc>
          <w:tcPr>
            <w:tcW w:w="1276" w:type="dxa"/>
          </w:tcPr>
          <w:p w14:paraId="7926D838" w14:textId="77777777" w:rsidR="006578AC" w:rsidRPr="00CC1295" w:rsidRDefault="006578AC" w:rsidP="006578AC">
            <w:pPr>
              <w:spacing w:after="0"/>
              <w:ind w:right="104"/>
              <w:jc w:val="right"/>
              <w:rPr>
                <w:rFonts w:cs="Arial"/>
              </w:rPr>
            </w:pPr>
            <w:r>
              <w:rPr>
                <w:rFonts w:cs="Arial"/>
              </w:rPr>
              <w:t>4.383</w:t>
            </w:r>
          </w:p>
        </w:tc>
        <w:tc>
          <w:tcPr>
            <w:tcW w:w="1275" w:type="dxa"/>
          </w:tcPr>
          <w:p w14:paraId="6241D37A" w14:textId="77777777" w:rsidR="006578AC" w:rsidRPr="00CC1295" w:rsidRDefault="006578AC" w:rsidP="006578AC">
            <w:pPr>
              <w:spacing w:after="0"/>
              <w:ind w:right="104"/>
              <w:jc w:val="right"/>
              <w:rPr>
                <w:rFonts w:cs="Arial"/>
              </w:rPr>
            </w:pPr>
            <w:r>
              <w:rPr>
                <w:rFonts w:cs="Arial"/>
              </w:rPr>
              <w:t>2.097</w:t>
            </w:r>
          </w:p>
        </w:tc>
        <w:tc>
          <w:tcPr>
            <w:tcW w:w="1276" w:type="dxa"/>
          </w:tcPr>
          <w:p w14:paraId="125AE855" w14:textId="77777777" w:rsidR="006578AC" w:rsidRPr="00CC1295" w:rsidRDefault="006578AC" w:rsidP="006578AC">
            <w:pPr>
              <w:spacing w:after="0"/>
              <w:ind w:right="104"/>
              <w:jc w:val="right"/>
              <w:rPr>
                <w:rFonts w:cs="Arial"/>
              </w:rPr>
            </w:pPr>
            <w:r>
              <w:rPr>
                <w:rFonts w:cs="Arial"/>
              </w:rPr>
              <w:t>0.000</w:t>
            </w:r>
          </w:p>
        </w:tc>
      </w:tr>
      <w:tr w:rsidR="006578AC" w:rsidRPr="00CC1295" w14:paraId="6A273DA7" w14:textId="77777777" w:rsidTr="006578AC">
        <w:tc>
          <w:tcPr>
            <w:tcW w:w="3970" w:type="dxa"/>
          </w:tcPr>
          <w:p w14:paraId="5AA2D594" w14:textId="77777777" w:rsidR="006578AC" w:rsidRDefault="006578AC" w:rsidP="006578AC">
            <w:pPr>
              <w:spacing w:after="0"/>
              <w:rPr>
                <w:rFonts w:cs="Arial"/>
              </w:rPr>
            </w:pPr>
            <w:r>
              <w:rPr>
                <w:rFonts w:cs="Arial"/>
              </w:rPr>
              <w:t>3</w:t>
            </w:r>
            <w:r w:rsidRPr="00595996">
              <w:rPr>
                <w:rFonts w:cs="Arial"/>
                <w:vertAlign w:val="superscript"/>
              </w:rPr>
              <w:t>rd</w:t>
            </w:r>
            <w:r>
              <w:rPr>
                <w:rFonts w:cs="Arial"/>
              </w:rPr>
              <w:t xml:space="preserve"> Party contributions</w:t>
            </w:r>
          </w:p>
        </w:tc>
        <w:tc>
          <w:tcPr>
            <w:tcW w:w="1276" w:type="dxa"/>
          </w:tcPr>
          <w:p w14:paraId="33E885C1" w14:textId="77777777" w:rsidR="006578AC" w:rsidRPr="00CC1295" w:rsidRDefault="006578AC" w:rsidP="006578AC">
            <w:pPr>
              <w:spacing w:after="0"/>
              <w:ind w:right="104"/>
              <w:jc w:val="right"/>
              <w:rPr>
                <w:rFonts w:cs="Arial"/>
              </w:rPr>
            </w:pPr>
            <w:r>
              <w:rPr>
                <w:rFonts w:cs="Arial"/>
              </w:rPr>
              <w:t>0.062</w:t>
            </w:r>
          </w:p>
        </w:tc>
        <w:tc>
          <w:tcPr>
            <w:tcW w:w="1275" w:type="dxa"/>
          </w:tcPr>
          <w:p w14:paraId="7A6001AB" w14:textId="77777777" w:rsidR="006578AC" w:rsidRPr="00CC1295" w:rsidRDefault="006578AC" w:rsidP="006578AC">
            <w:pPr>
              <w:spacing w:after="0"/>
              <w:ind w:right="104"/>
              <w:jc w:val="right"/>
              <w:rPr>
                <w:rFonts w:cs="Arial"/>
              </w:rPr>
            </w:pPr>
            <w:r>
              <w:rPr>
                <w:rFonts w:cs="Arial"/>
              </w:rPr>
              <w:t>0.031</w:t>
            </w:r>
          </w:p>
        </w:tc>
        <w:tc>
          <w:tcPr>
            <w:tcW w:w="1276" w:type="dxa"/>
          </w:tcPr>
          <w:p w14:paraId="502D050A" w14:textId="77777777" w:rsidR="006578AC" w:rsidRPr="00CC1295" w:rsidRDefault="006578AC" w:rsidP="006578AC">
            <w:pPr>
              <w:spacing w:after="0"/>
              <w:ind w:right="104"/>
              <w:jc w:val="right"/>
              <w:rPr>
                <w:rFonts w:cs="Arial"/>
              </w:rPr>
            </w:pPr>
            <w:r>
              <w:rPr>
                <w:rFonts w:cs="Arial"/>
              </w:rPr>
              <w:t>0.000</w:t>
            </w:r>
          </w:p>
        </w:tc>
      </w:tr>
      <w:tr w:rsidR="006578AC" w:rsidRPr="00595996" w14:paraId="529954E9" w14:textId="77777777" w:rsidTr="006578AC">
        <w:tc>
          <w:tcPr>
            <w:tcW w:w="3970" w:type="dxa"/>
          </w:tcPr>
          <w:p w14:paraId="7E751485" w14:textId="77777777" w:rsidR="006578AC" w:rsidRPr="00595996" w:rsidRDefault="006578AC" w:rsidP="006578AC">
            <w:pPr>
              <w:spacing w:after="0"/>
              <w:rPr>
                <w:rFonts w:cs="Arial"/>
                <w:b/>
              </w:rPr>
            </w:pPr>
            <w:r>
              <w:rPr>
                <w:rFonts w:cs="Arial"/>
                <w:b/>
              </w:rPr>
              <w:t>Total funding</w:t>
            </w:r>
          </w:p>
        </w:tc>
        <w:tc>
          <w:tcPr>
            <w:tcW w:w="1276" w:type="dxa"/>
          </w:tcPr>
          <w:p w14:paraId="6CA11EE3" w14:textId="77777777" w:rsidR="006578AC" w:rsidRPr="00595996" w:rsidRDefault="006578AC" w:rsidP="006578AC">
            <w:pPr>
              <w:spacing w:after="0"/>
              <w:ind w:right="104"/>
              <w:jc w:val="right"/>
              <w:rPr>
                <w:rFonts w:cs="Arial"/>
                <w:b/>
              </w:rPr>
            </w:pPr>
            <w:r>
              <w:rPr>
                <w:rFonts w:cs="Arial"/>
                <w:b/>
              </w:rPr>
              <w:t>155.271</w:t>
            </w:r>
          </w:p>
        </w:tc>
        <w:tc>
          <w:tcPr>
            <w:tcW w:w="1275" w:type="dxa"/>
          </w:tcPr>
          <w:p w14:paraId="7C2ACBF1" w14:textId="77777777" w:rsidR="006578AC" w:rsidRPr="00595996" w:rsidRDefault="006578AC" w:rsidP="006578AC">
            <w:pPr>
              <w:spacing w:after="0"/>
              <w:ind w:right="104"/>
              <w:jc w:val="right"/>
              <w:rPr>
                <w:rFonts w:cs="Arial"/>
                <w:b/>
              </w:rPr>
            </w:pPr>
            <w:r>
              <w:rPr>
                <w:rFonts w:cs="Arial"/>
                <w:b/>
              </w:rPr>
              <w:t>117.625</w:t>
            </w:r>
          </w:p>
        </w:tc>
        <w:tc>
          <w:tcPr>
            <w:tcW w:w="1276" w:type="dxa"/>
          </w:tcPr>
          <w:p w14:paraId="10DEE8E5" w14:textId="77777777" w:rsidR="006578AC" w:rsidRPr="00595996" w:rsidRDefault="006578AC" w:rsidP="006578AC">
            <w:pPr>
              <w:spacing w:after="0"/>
              <w:ind w:right="104"/>
              <w:jc w:val="right"/>
              <w:rPr>
                <w:rFonts w:cs="Arial"/>
                <w:b/>
              </w:rPr>
            </w:pPr>
            <w:r>
              <w:rPr>
                <w:rFonts w:cs="Arial"/>
                <w:b/>
              </w:rPr>
              <w:t>55.419</w:t>
            </w:r>
          </w:p>
        </w:tc>
      </w:tr>
    </w:tbl>
    <w:p w14:paraId="66960DC7" w14:textId="77777777" w:rsidR="00B75C24" w:rsidRPr="008925CE" w:rsidRDefault="00B75C24" w:rsidP="00B75C24">
      <w:pPr>
        <w:tabs>
          <w:tab w:val="left" w:pos="567"/>
        </w:tabs>
        <w:spacing w:after="0"/>
        <w:ind w:right="-613"/>
        <w:rPr>
          <w:rFonts w:cs="Arial"/>
          <w:lang w:eastAsia="en-GB"/>
        </w:rPr>
      </w:pPr>
    </w:p>
    <w:p w14:paraId="57C28128" w14:textId="77777777" w:rsidR="00B75C24" w:rsidRPr="008925CE" w:rsidRDefault="00B75C24" w:rsidP="00B75C24">
      <w:pPr>
        <w:tabs>
          <w:tab w:val="left" w:pos="567"/>
        </w:tabs>
        <w:spacing w:after="0"/>
        <w:ind w:right="-613"/>
        <w:rPr>
          <w:rFonts w:cs="Arial"/>
          <w:b/>
        </w:rPr>
      </w:pPr>
      <w:r w:rsidRPr="008925CE">
        <w:rPr>
          <w:rFonts w:cs="Arial"/>
          <w:b/>
        </w:rPr>
        <w:t>1</w:t>
      </w:r>
      <w:r>
        <w:rPr>
          <w:rFonts w:cs="Arial"/>
          <w:b/>
        </w:rPr>
        <w:t>.5</w:t>
      </w:r>
      <w:r>
        <w:rPr>
          <w:rFonts w:cs="Arial"/>
          <w:b/>
        </w:rPr>
        <w:tab/>
      </w:r>
      <w:r w:rsidRPr="008925CE">
        <w:rPr>
          <w:rFonts w:cs="Arial"/>
          <w:b/>
        </w:rPr>
        <w:t xml:space="preserve">Future Years Capital Programme.  </w:t>
      </w:r>
    </w:p>
    <w:p w14:paraId="5BE1C8B3" w14:textId="77777777" w:rsidR="00B75C24" w:rsidRPr="008925CE" w:rsidRDefault="00B75C24" w:rsidP="00B75C24">
      <w:pPr>
        <w:tabs>
          <w:tab w:val="left" w:pos="567"/>
        </w:tabs>
        <w:spacing w:after="0"/>
        <w:ind w:right="-613"/>
        <w:rPr>
          <w:rFonts w:cs="Arial"/>
        </w:rPr>
      </w:pPr>
    </w:p>
    <w:p w14:paraId="7FDD6DD0" w14:textId="424D143F" w:rsidR="00B75C24" w:rsidRDefault="009E4412" w:rsidP="00B75C24">
      <w:pPr>
        <w:tabs>
          <w:tab w:val="left" w:pos="567"/>
        </w:tabs>
        <w:spacing w:after="0"/>
        <w:ind w:right="-613"/>
        <w:rPr>
          <w:rFonts w:cs="Arial"/>
        </w:rPr>
      </w:pPr>
      <w:r>
        <w:rPr>
          <w:rFonts w:cs="Arial"/>
        </w:rPr>
        <w:t>Based on S</w:t>
      </w:r>
      <w:r w:rsidR="00B75C24" w:rsidRPr="008925CE">
        <w:rPr>
          <w:rFonts w:cs="Arial"/>
        </w:rPr>
        <w:t xml:space="preserve">ection 1.4 above and taking into account projects totalling £35.312m planned to utilise grants </w:t>
      </w:r>
      <w:r>
        <w:rPr>
          <w:rFonts w:cs="Arial"/>
        </w:rPr>
        <w:t>to be received in 2018/19 (see A</w:t>
      </w:r>
      <w:r w:rsidR="00B75C24" w:rsidRPr="008925CE">
        <w:rPr>
          <w:rFonts w:cs="Arial"/>
        </w:rPr>
        <w:t>ppendix 1</w:t>
      </w:r>
      <w:r>
        <w:rPr>
          <w:rFonts w:cs="Arial"/>
        </w:rPr>
        <w:t>)</w:t>
      </w:r>
      <w:r w:rsidR="00B75C24" w:rsidRPr="008925CE">
        <w:rPr>
          <w:rFonts w:cs="Arial"/>
        </w:rPr>
        <w:t>;  the capital programme for the three years 2018-19 to 2020-21 will be  as below.  This does not include any slippage from 2017/18 delivery programme which will be added to the delivery programme for 2018/19 below to be monitored as delivery in 2018/19.</w:t>
      </w:r>
    </w:p>
    <w:p w14:paraId="6CCACF41" w14:textId="77777777" w:rsidR="00B75C24" w:rsidRPr="008925CE" w:rsidRDefault="00B75C24" w:rsidP="00B75C24">
      <w:pPr>
        <w:tabs>
          <w:tab w:val="left" w:pos="567"/>
        </w:tabs>
        <w:spacing w:after="0"/>
        <w:ind w:right="-613"/>
        <w:rPr>
          <w:rFonts w:cs="Arial"/>
        </w:rPr>
      </w:pPr>
      <w:r w:rsidRPr="008925CE">
        <w:rPr>
          <w:rFonts w:cs="Arial"/>
        </w:rPr>
        <w:t xml:space="preserve">  </w:t>
      </w:r>
    </w:p>
    <w:p w14:paraId="3B7DD2D8" w14:textId="22051893" w:rsidR="00B75C24" w:rsidRDefault="00B75C24" w:rsidP="00B75C24">
      <w:pPr>
        <w:tabs>
          <w:tab w:val="left" w:pos="567"/>
        </w:tabs>
        <w:spacing w:after="0"/>
        <w:ind w:right="-613"/>
        <w:rPr>
          <w:rFonts w:cs="Arial"/>
        </w:rPr>
      </w:pPr>
      <w:r w:rsidRPr="008925CE">
        <w:rPr>
          <w:rFonts w:cs="Arial"/>
        </w:rPr>
        <w:lastRenderedPageBreak/>
        <w:t xml:space="preserve">Should all the items in </w:t>
      </w:r>
      <w:r w:rsidR="009E4412">
        <w:rPr>
          <w:rFonts w:cs="Arial"/>
        </w:rPr>
        <w:t>A</w:t>
      </w:r>
      <w:r w:rsidRPr="008925CE">
        <w:rPr>
          <w:rFonts w:cs="Arial"/>
        </w:rPr>
        <w:t>ppendix 1 be approved for delivery</w:t>
      </w:r>
      <w:r w:rsidR="009E4412">
        <w:rPr>
          <w:rFonts w:cs="Arial"/>
        </w:rPr>
        <w:t>,</w:t>
      </w:r>
      <w:r w:rsidRPr="008925CE">
        <w:rPr>
          <w:rFonts w:cs="Arial"/>
        </w:rPr>
        <w:t xml:space="preserve"> the capital programme for monitoring in 2018/19 will be as below</w:t>
      </w:r>
      <w:r w:rsidR="009E4412">
        <w:rPr>
          <w:rFonts w:cs="Arial"/>
        </w:rPr>
        <w:t>,</w:t>
      </w:r>
      <w:r w:rsidRPr="008925CE">
        <w:rPr>
          <w:rFonts w:cs="Arial"/>
        </w:rPr>
        <w:t xml:space="preserve"> along with the financing requirements to meet this commitment. </w:t>
      </w:r>
    </w:p>
    <w:p w14:paraId="650E8767" w14:textId="77777777" w:rsidR="00B75C24" w:rsidRPr="008925CE" w:rsidRDefault="00B75C24" w:rsidP="00B75C24">
      <w:pPr>
        <w:tabs>
          <w:tab w:val="left" w:pos="567"/>
        </w:tabs>
        <w:spacing w:after="0"/>
        <w:ind w:right="-613"/>
        <w:rPr>
          <w:rFonts w:cs="Arial"/>
        </w:rPr>
      </w:pPr>
    </w:p>
    <w:tbl>
      <w:tblPr>
        <w:tblStyle w:val="TableGrid"/>
        <w:tblW w:w="7797" w:type="dxa"/>
        <w:tblInd w:w="-5" w:type="dxa"/>
        <w:tblLayout w:type="fixed"/>
        <w:tblLook w:val="04A0" w:firstRow="1" w:lastRow="0" w:firstColumn="1" w:lastColumn="0" w:noHBand="0" w:noVBand="1"/>
      </w:tblPr>
      <w:tblGrid>
        <w:gridCol w:w="3970"/>
        <w:gridCol w:w="1276"/>
        <w:gridCol w:w="1275"/>
        <w:gridCol w:w="1276"/>
      </w:tblGrid>
      <w:tr w:rsidR="006578AC" w:rsidRPr="00CC1295" w14:paraId="143CB072" w14:textId="77777777" w:rsidTr="006578AC">
        <w:trPr>
          <w:trHeight w:val="416"/>
        </w:trPr>
        <w:tc>
          <w:tcPr>
            <w:tcW w:w="3970" w:type="dxa"/>
          </w:tcPr>
          <w:p w14:paraId="7528239D" w14:textId="77777777" w:rsidR="006578AC" w:rsidRPr="00CC1295" w:rsidRDefault="006578AC" w:rsidP="009D6093">
            <w:pPr>
              <w:spacing w:after="0"/>
              <w:rPr>
                <w:rFonts w:cs="Arial"/>
              </w:rPr>
            </w:pPr>
            <w:r>
              <w:rPr>
                <w:rFonts w:cs="Arial"/>
              </w:rPr>
              <w:t>3 Year Capital Programme 2018/19 to 2020/2021</w:t>
            </w:r>
          </w:p>
        </w:tc>
        <w:tc>
          <w:tcPr>
            <w:tcW w:w="1276" w:type="dxa"/>
          </w:tcPr>
          <w:p w14:paraId="388C8191" w14:textId="77777777" w:rsidR="006578AC" w:rsidRDefault="006578AC" w:rsidP="009D6093">
            <w:pPr>
              <w:spacing w:after="0"/>
              <w:jc w:val="right"/>
              <w:rPr>
                <w:rFonts w:cs="Arial"/>
              </w:rPr>
            </w:pPr>
            <w:r w:rsidRPr="00CC1295">
              <w:rPr>
                <w:rFonts w:cs="Arial"/>
              </w:rPr>
              <w:t>201</w:t>
            </w:r>
            <w:r>
              <w:rPr>
                <w:rFonts w:cs="Arial"/>
              </w:rPr>
              <w:t>8</w:t>
            </w:r>
            <w:r w:rsidRPr="00CC1295">
              <w:rPr>
                <w:rFonts w:cs="Arial"/>
              </w:rPr>
              <w:t>/1</w:t>
            </w:r>
            <w:r>
              <w:rPr>
                <w:rFonts w:cs="Arial"/>
              </w:rPr>
              <w:t>9</w:t>
            </w:r>
          </w:p>
          <w:p w14:paraId="1FEB4296" w14:textId="01535A11" w:rsidR="009E4412" w:rsidRPr="00CC1295" w:rsidRDefault="009E4412" w:rsidP="009D6093">
            <w:pPr>
              <w:spacing w:after="0"/>
              <w:jc w:val="right"/>
              <w:rPr>
                <w:rFonts w:cs="Arial"/>
              </w:rPr>
            </w:pPr>
            <w:r>
              <w:rPr>
                <w:rFonts w:cs="Arial"/>
              </w:rPr>
              <w:t>(£m)</w:t>
            </w:r>
          </w:p>
        </w:tc>
        <w:tc>
          <w:tcPr>
            <w:tcW w:w="1275" w:type="dxa"/>
          </w:tcPr>
          <w:p w14:paraId="75B2EF1A" w14:textId="77777777" w:rsidR="006578AC" w:rsidRDefault="006578AC" w:rsidP="009D6093">
            <w:pPr>
              <w:spacing w:after="0"/>
              <w:jc w:val="right"/>
              <w:rPr>
                <w:rFonts w:cs="Arial"/>
              </w:rPr>
            </w:pPr>
            <w:r w:rsidRPr="00CC1295">
              <w:rPr>
                <w:rFonts w:cs="Arial"/>
              </w:rPr>
              <w:t>201</w:t>
            </w:r>
            <w:r>
              <w:rPr>
                <w:rFonts w:cs="Arial"/>
              </w:rPr>
              <w:t>9</w:t>
            </w:r>
            <w:r w:rsidRPr="00CC1295">
              <w:rPr>
                <w:rFonts w:cs="Arial"/>
              </w:rPr>
              <w:t>/</w:t>
            </w:r>
            <w:r>
              <w:rPr>
                <w:rFonts w:cs="Arial"/>
              </w:rPr>
              <w:t>20</w:t>
            </w:r>
          </w:p>
          <w:p w14:paraId="1F663469" w14:textId="6C8BA9BC" w:rsidR="009E4412" w:rsidRPr="00CC1295" w:rsidRDefault="009E4412" w:rsidP="009D6093">
            <w:pPr>
              <w:spacing w:after="0"/>
              <w:jc w:val="right"/>
              <w:rPr>
                <w:rFonts w:cs="Arial"/>
              </w:rPr>
            </w:pPr>
            <w:r>
              <w:rPr>
                <w:rFonts w:cs="Arial"/>
              </w:rPr>
              <w:t>(£m)</w:t>
            </w:r>
          </w:p>
        </w:tc>
        <w:tc>
          <w:tcPr>
            <w:tcW w:w="1276" w:type="dxa"/>
          </w:tcPr>
          <w:p w14:paraId="44FB8F40" w14:textId="77777777" w:rsidR="006578AC" w:rsidRDefault="006578AC" w:rsidP="009D6093">
            <w:pPr>
              <w:spacing w:after="0"/>
              <w:jc w:val="right"/>
              <w:rPr>
                <w:rFonts w:cs="Arial"/>
              </w:rPr>
            </w:pPr>
            <w:r w:rsidRPr="00CC1295">
              <w:rPr>
                <w:rFonts w:cs="Arial"/>
              </w:rPr>
              <w:t>20</w:t>
            </w:r>
            <w:r>
              <w:rPr>
                <w:rFonts w:cs="Arial"/>
              </w:rPr>
              <w:t>20</w:t>
            </w:r>
            <w:r w:rsidRPr="00CC1295">
              <w:rPr>
                <w:rFonts w:cs="Arial"/>
              </w:rPr>
              <w:t>/2</w:t>
            </w:r>
            <w:r>
              <w:rPr>
                <w:rFonts w:cs="Arial"/>
              </w:rPr>
              <w:t>1</w:t>
            </w:r>
          </w:p>
          <w:p w14:paraId="2EF5514D" w14:textId="01B37121" w:rsidR="009E4412" w:rsidRPr="00CC1295" w:rsidRDefault="009E4412" w:rsidP="009D6093">
            <w:pPr>
              <w:spacing w:after="0"/>
              <w:jc w:val="right"/>
              <w:rPr>
                <w:rFonts w:cs="Arial"/>
              </w:rPr>
            </w:pPr>
            <w:r>
              <w:rPr>
                <w:rFonts w:cs="Arial"/>
              </w:rPr>
              <w:t>(£m)</w:t>
            </w:r>
          </w:p>
        </w:tc>
      </w:tr>
      <w:tr w:rsidR="006578AC" w:rsidRPr="00CC1295" w14:paraId="421787E0" w14:textId="77777777" w:rsidTr="006578AC">
        <w:tc>
          <w:tcPr>
            <w:tcW w:w="3970" w:type="dxa"/>
          </w:tcPr>
          <w:p w14:paraId="7749C51A" w14:textId="77777777" w:rsidR="006578AC" w:rsidRPr="00CC1295" w:rsidRDefault="006578AC" w:rsidP="00805F51">
            <w:pPr>
              <w:rPr>
                <w:rFonts w:cs="Arial"/>
              </w:rPr>
            </w:pPr>
            <w:r w:rsidRPr="00CC1295">
              <w:rPr>
                <w:rFonts w:cs="Arial"/>
              </w:rPr>
              <w:t>Schools (exl DFC)</w:t>
            </w:r>
          </w:p>
        </w:tc>
        <w:tc>
          <w:tcPr>
            <w:tcW w:w="1276" w:type="dxa"/>
          </w:tcPr>
          <w:p w14:paraId="641B5F6B" w14:textId="77777777" w:rsidR="006578AC" w:rsidRPr="00CC1295" w:rsidRDefault="006578AC" w:rsidP="00805F51">
            <w:pPr>
              <w:ind w:right="104"/>
              <w:jc w:val="right"/>
              <w:rPr>
                <w:rFonts w:cs="Arial"/>
              </w:rPr>
            </w:pPr>
            <w:r>
              <w:rPr>
                <w:rFonts w:cs="Arial"/>
              </w:rPr>
              <w:t>32.612</w:t>
            </w:r>
          </w:p>
        </w:tc>
        <w:tc>
          <w:tcPr>
            <w:tcW w:w="1275" w:type="dxa"/>
          </w:tcPr>
          <w:p w14:paraId="09287825" w14:textId="77777777" w:rsidR="006578AC" w:rsidRPr="00CC1295" w:rsidRDefault="006578AC" w:rsidP="00805F51">
            <w:pPr>
              <w:ind w:right="104"/>
              <w:jc w:val="right"/>
              <w:rPr>
                <w:rFonts w:cs="Arial"/>
              </w:rPr>
            </w:pPr>
            <w:r>
              <w:rPr>
                <w:rFonts w:cs="Arial"/>
              </w:rPr>
              <w:t>20.188</w:t>
            </w:r>
          </w:p>
        </w:tc>
        <w:tc>
          <w:tcPr>
            <w:tcW w:w="1276" w:type="dxa"/>
          </w:tcPr>
          <w:p w14:paraId="7095E8F9" w14:textId="77777777" w:rsidR="006578AC" w:rsidRPr="00CC1295" w:rsidRDefault="006578AC" w:rsidP="00805F51">
            <w:pPr>
              <w:ind w:right="104"/>
              <w:jc w:val="right"/>
              <w:rPr>
                <w:rFonts w:cs="Arial"/>
              </w:rPr>
            </w:pPr>
          </w:p>
        </w:tc>
      </w:tr>
      <w:tr w:rsidR="006578AC" w:rsidRPr="00CC1295" w14:paraId="3A54B1CA" w14:textId="77777777" w:rsidTr="006578AC">
        <w:tc>
          <w:tcPr>
            <w:tcW w:w="3970" w:type="dxa"/>
          </w:tcPr>
          <w:p w14:paraId="1BC47A1D" w14:textId="77777777" w:rsidR="006578AC" w:rsidRPr="00CC1295" w:rsidRDefault="006578AC" w:rsidP="00805F51">
            <w:pPr>
              <w:rPr>
                <w:rFonts w:cs="Arial"/>
              </w:rPr>
            </w:pPr>
            <w:r w:rsidRPr="00CC1295">
              <w:rPr>
                <w:rFonts w:cs="Arial"/>
              </w:rPr>
              <w:t>Schools DFC</w:t>
            </w:r>
          </w:p>
        </w:tc>
        <w:tc>
          <w:tcPr>
            <w:tcW w:w="1276" w:type="dxa"/>
          </w:tcPr>
          <w:p w14:paraId="5B8D66ED" w14:textId="77777777" w:rsidR="006578AC" w:rsidRPr="00CC1295" w:rsidRDefault="006578AC" w:rsidP="00805F51">
            <w:pPr>
              <w:ind w:right="104"/>
              <w:jc w:val="right"/>
              <w:rPr>
                <w:rFonts w:cs="Arial"/>
              </w:rPr>
            </w:pPr>
            <w:r>
              <w:rPr>
                <w:rFonts w:cs="Arial"/>
              </w:rPr>
              <w:t>5.156</w:t>
            </w:r>
          </w:p>
        </w:tc>
        <w:tc>
          <w:tcPr>
            <w:tcW w:w="1275" w:type="dxa"/>
          </w:tcPr>
          <w:p w14:paraId="5AB27B5F" w14:textId="77777777" w:rsidR="006578AC" w:rsidRPr="00CC1295" w:rsidRDefault="006578AC" w:rsidP="00805F51">
            <w:pPr>
              <w:ind w:right="104"/>
              <w:jc w:val="right"/>
              <w:rPr>
                <w:rFonts w:cs="Arial"/>
              </w:rPr>
            </w:pPr>
            <w:r>
              <w:rPr>
                <w:rFonts w:cs="Arial"/>
              </w:rPr>
              <w:t>0.000</w:t>
            </w:r>
          </w:p>
        </w:tc>
        <w:tc>
          <w:tcPr>
            <w:tcW w:w="1276" w:type="dxa"/>
          </w:tcPr>
          <w:p w14:paraId="0C33CD39" w14:textId="77777777" w:rsidR="006578AC" w:rsidRPr="00CC1295" w:rsidRDefault="006578AC" w:rsidP="00805F51">
            <w:pPr>
              <w:ind w:right="104"/>
              <w:jc w:val="right"/>
              <w:rPr>
                <w:rFonts w:cs="Arial"/>
              </w:rPr>
            </w:pPr>
          </w:p>
        </w:tc>
      </w:tr>
      <w:tr w:rsidR="006578AC" w:rsidRPr="00CC1295" w14:paraId="287F3E54" w14:textId="77777777" w:rsidTr="006578AC">
        <w:tc>
          <w:tcPr>
            <w:tcW w:w="3970" w:type="dxa"/>
          </w:tcPr>
          <w:p w14:paraId="5E35610E" w14:textId="77777777" w:rsidR="006578AC" w:rsidRPr="00CC1295" w:rsidRDefault="006578AC" w:rsidP="00805F51">
            <w:pPr>
              <w:rPr>
                <w:rFonts w:cs="Arial"/>
              </w:rPr>
            </w:pPr>
            <w:r w:rsidRPr="00CC1295">
              <w:rPr>
                <w:rFonts w:cs="Arial"/>
              </w:rPr>
              <w:t>Children and Young People</w:t>
            </w:r>
          </w:p>
        </w:tc>
        <w:tc>
          <w:tcPr>
            <w:tcW w:w="1276" w:type="dxa"/>
          </w:tcPr>
          <w:p w14:paraId="40D94BA6" w14:textId="77777777" w:rsidR="006578AC" w:rsidRPr="00CC1295" w:rsidRDefault="006578AC" w:rsidP="00805F51">
            <w:pPr>
              <w:ind w:right="104"/>
              <w:jc w:val="right"/>
              <w:rPr>
                <w:rFonts w:cs="Arial"/>
              </w:rPr>
            </w:pPr>
            <w:r>
              <w:rPr>
                <w:rFonts w:cs="Arial"/>
              </w:rPr>
              <w:t>4.560</w:t>
            </w:r>
          </w:p>
        </w:tc>
        <w:tc>
          <w:tcPr>
            <w:tcW w:w="1275" w:type="dxa"/>
          </w:tcPr>
          <w:p w14:paraId="6B37F8EB" w14:textId="77777777" w:rsidR="006578AC" w:rsidRPr="00CC1295" w:rsidRDefault="006578AC" w:rsidP="00805F51">
            <w:pPr>
              <w:ind w:right="104"/>
              <w:jc w:val="right"/>
              <w:rPr>
                <w:rFonts w:cs="Arial"/>
              </w:rPr>
            </w:pPr>
            <w:r>
              <w:rPr>
                <w:rFonts w:cs="Arial"/>
              </w:rPr>
              <w:t>3.588</w:t>
            </w:r>
          </w:p>
        </w:tc>
        <w:tc>
          <w:tcPr>
            <w:tcW w:w="1276" w:type="dxa"/>
          </w:tcPr>
          <w:p w14:paraId="5D553280" w14:textId="77777777" w:rsidR="006578AC" w:rsidRPr="00CC1295" w:rsidRDefault="006578AC" w:rsidP="00805F51">
            <w:pPr>
              <w:ind w:right="104"/>
              <w:jc w:val="right"/>
              <w:rPr>
                <w:rFonts w:cs="Arial"/>
              </w:rPr>
            </w:pPr>
          </w:p>
        </w:tc>
      </w:tr>
      <w:tr w:rsidR="006578AC" w:rsidRPr="00CC1295" w14:paraId="52214494" w14:textId="77777777" w:rsidTr="006578AC">
        <w:tc>
          <w:tcPr>
            <w:tcW w:w="3970" w:type="dxa"/>
          </w:tcPr>
          <w:p w14:paraId="3486F096" w14:textId="77777777" w:rsidR="006578AC" w:rsidRPr="00CC1295" w:rsidRDefault="006578AC" w:rsidP="00805F51">
            <w:pPr>
              <w:rPr>
                <w:rFonts w:cs="Arial"/>
              </w:rPr>
            </w:pPr>
            <w:r w:rsidRPr="00CC1295">
              <w:rPr>
                <w:rFonts w:cs="Arial"/>
              </w:rPr>
              <w:t>Highways</w:t>
            </w:r>
          </w:p>
        </w:tc>
        <w:tc>
          <w:tcPr>
            <w:tcW w:w="1276" w:type="dxa"/>
          </w:tcPr>
          <w:p w14:paraId="37C87CB0" w14:textId="77777777" w:rsidR="006578AC" w:rsidRPr="00CC1295" w:rsidRDefault="006578AC" w:rsidP="00805F51">
            <w:pPr>
              <w:ind w:right="104"/>
              <w:jc w:val="right"/>
              <w:rPr>
                <w:rFonts w:cs="Arial"/>
              </w:rPr>
            </w:pPr>
            <w:r>
              <w:rPr>
                <w:rFonts w:cs="Arial"/>
              </w:rPr>
              <w:t>53.415</w:t>
            </w:r>
          </w:p>
        </w:tc>
        <w:tc>
          <w:tcPr>
            <w:tcW w:w="1275" w:type="dxa"/>
          </w:tcPr>
          <w:p w14:paraId="21644FBF" w14:textId="77777777" w:rsidR="006578AC" w:rsidRPr="00CC1295" w:rsidRDefault="006578AC" w:rsidP="00805F51">
            <w:pPr>
              <w:ind w:right="104"/>
              <w:jc w:val="right"/>
              <w:rPr>
                <w:rFonts w:cs="Arial"/>
              </w:rPr>
            </w:pPr>
            <w:r>
              <w:rPr>
                <w:rFonts w:cs="Arial"/>
              </w:rPr>
              <w:t>4.551</w:t>
            </w:r>
          </w:p>
        </w:tc>
        <w:tc>
          <w:tcPr>
            <w:tcW w:w="1276" w:type="dxa"/>
          </w:tcPr>
          <w:p w14:paraId="205403C4" w14:textId="77777777" w:rsidR="006578AC" w:rsidRPr="00CC1295" w:rsidRDefault="006578AC" w:rsidP="00805F51">
            <w:pPr>
              <w:ind w:right="104"/>
              <w:jc w:val="right"/>
              <w:rPr>
                <w:rFonts w:cs="Arial"/>
              </w:rPr>
            </w:pPr>
            <w:r>
              <w:rPr>
                <w:rFonts w:cs="Arial"/>
              </w:rPr>
              <w:t>4.797</w:t>
            </w:r>
          </w:p>
        </w:tc>
      </w:tr>
      <w:tr w:rsidR="006578AC" w:rsidRPr="00CC1295" w14:paraId="4A5A0673" w14:textId="77777777" w:rsidTr="006578AC">
        <w:tc>
          <w:tcPr>
            <w:tcW w:w="3970" w:type="dxa"/>
          </w:tcPr>
          <w:p w14:paraId="6150BB74" w14:textId="77777777" w:rsidR="006578AC" w:rsidRPr="00CC1295" w:rsidRDefault="006578AC" w:rsidP="00805F51">
            <w:pPr>
              <w:rPr>
                <w:rFonts w:cs="Arial"/>
              </w:rPr>
            </w:pPr>
            <w:r w:rsidRPr="00CC1295">
              <w:rPr>
                <w:rFonts w:cs="Arial"/>
              </w:rPr>
              <w:t>Transport</w:t>
            </w:r>
          </w:p>
        </w:tc>
        <w:tc>
          <w:tcPr>
            <w:tcW w:w="1276" w:type="dxa"/>
          </w:tcPr>
          <w:p w14:paraId="71343B3D" w14:textId="77777777" w:rsidR="006578AC" w:rsidRPr="00CC1295" w:rsidRDefault="006578AC" w:rsidP="00805F51">
            <w:pPr>
              <w:ind w:right="104"/>
              <w:jc w:val="right"/>
              <w:rPr>
                <w:rFonts w:cs="Arial"/>
              </w:rPr>
            </w:pPr>
            <w:r>
              <w:rPr>
                <w:rFonts w:cs="Arial"/>
              </w:rPr>
              <w:t>25.692</w:t>
            </w:r>
          </w:p>
        </w:tc>
        <w:tc>
          <w:tcPr>
            <w:tcW w:w="1275" w:type="dxa"/>
          </w:tcPr>
          <w:p w14:paraId="7BD174CA" w14:textId="77777777" w:rsidR="006578AC" w:rsidRPr="00CC1295" w:rsidRDefault="006578AC" w:rsidP="00805F51">
            <w:pPr>
              <w:ind w:right="104"/>
              <w:jc w:val="right"/>
              <w:rPr>
                <w:rFonts w:cs="Arial"/>
              </w:rPr>
            </w:pPr>
            <w:r>
              <w:rPr>
                <w:rFonts w:cs="Arial"/>
              </w:rPr>
              <w:t>0.840</w:t>
            </w:r>
          </w:p>
        </w:tc>
        <w:tc>
          <w:tcPr>
            <w:tcW w:w="1276" w:type="dxa"/>
          </w:tcPr>
          <w:p w14:paraId="2D7A5D4C" w14:textId="77777777" w:rsidR="006578AC" w:rsidRPr="00CC1295" w:rsidRDefault="006578AC" w:rsidP="00805F51">
            <w:pPr>
              <w:ind w:right="104"/>
              <w:jc w:val="right"/>
              <w:rPr>
                <w:rFonts w:cs="Arial"/>
              </w:rPr>
            </w:pPr>
          </w:p>
        </w:tc>
      </w:tr>
      <w:tr w:rsidR="006578AC" w:rsidRPr="00CC1295" w14:paraId="52E0CB5C" w14:textId="77777777" w:rsidTr="006578AC">
        <w:tc>
          <w:tcPr>
            <w:tcW w:w="3970" w:type="dxa"/>
          </w:tcPr>
          <w:p w14:paraId="7AB63B72" w14:textId="77777777" w:rsidR="006578AC" w:rsidRPr="00CC1295" w:rsidRDefault="006578AC" w:rsidP="00805F51">
            <w:pPr>
              <w:rPr>
                <w:rFonts w:cs="Arial"/>
              </w:rPr>
            </w:pPr>
            <w:r w:rsidRPr="00CC1295">
              <w:rPr>
                <w:rFonts w:cs="Arial"/>
              </w:rPr>
              <w:t>Waste and Other</w:t>
            </w:r>
          </w:p>
        </w:tc>
        <w:tc>
          <w:tcPr>
            <w:tcW w:w="1276" w:type="dxa"/>
          </w:tcPr>
          <w:p w14:paraId="3C13842B" w14:textId="77777777" w:rsidR="006578AC" w:rsidRPr="00CC1295" w:rsidRDefault="006578AC" w:rsidP="00805F51">
            <w:pPr>
              <w:ind w:right="104"/>
              <w:jc w:val="right"/>
              <w:rPr>
                <w:rFonts w:cs="Arial"/>
              </w:rPr>
            </w:pPr>
            <w:r>
              <w:rPr>
                <w:rFonts w:cs="Arial"/>
              </w:rPr>
              <w:t>0.100</w:t>
            </w:r>
          </w:p>
        </w:tc>
        <w:tc>
          <w:tcPr>
            <w:tcW w:w="1275" w:type="dxa"/>
          </w:tcPr>
          <w:p w14:paraId="53C233EC" w14:textId="77777777" w:rsidR="006578AC" w:rsidRPr="00CC1295" w:rsidRDefault="006578AC" w:rsidP="00805F51">
            <w:pPr>
              <w:ind w:right="104"/>
              <w:jc w:val="right"/>
              <w:rPr>
                <w:rFonts w:cs="Arial"/>
              </w:rPr>
            </w:pPr>
          </w:p>
        </w:tc>
        <w:tc>
          <w:tcPr>
            <w:tcW w:w="1276" w:type="dxa"/>
          </w:tcPr>
          <w:p w14:paraId="5C4EB774" w14:textId="77777777" w:rsidR="006578AC" w:rsidRPr="00CC1295" w:rsidRDefault="006578AC" w:rsidP="00805F51">
            <w:pPr>
              <w:ind w:right="104"/>
              <w:jc w:val="right"/>
              <w:rPr>
                <w:rFonts w:cs="Arial"/>
              </w:rPr>
            </w:pPr>
          </w:p>
        </w:tc>
      </w:tr>
      <w:tr w:rsidR="006578AC" w:rsidRPr="00CC1295" w14:paraId="2406C5EE" w14:textId="77777777" w:rsidTr="006578AC">
        <w:tc>
          <w:tcPr>
            <w:tcW w:w="3970" w:type="dxa"/>
          </w:tcPr>
          <w:p w14:paraId="14E669AF" w14:textId="77777777" w:rsidR="006578AC" w:rsidRPr="00CC1295" w:rsidRDefault="006578AC" w:rsidP="00805F51">
            <w:pPr>
              <w:rPr>
                <w:rFonts w:cs="Arial"/>
              </w:rPr>
            </w:pPr>
            <w:r w:rsidRPr="00CC1295">
              <w:rPr>
                <w:rFonts w:cs="Arial"/>
              </w:rPr>
              <w:t>Adults Social Care</w:t>
            </w:r>
          </w:p>
        </w:tc>
        <w:tc>
          <w:tcPr>
            <w:tcW w:w="1276" w:type="dxa"/>
          </w:tcPr>
          <w:p w14:paraId="66710935" w14:textId="77777777" w:rsidR="006578AC" w:rsidRPr="00CC1295" w:rsidRDefault="006578AC" w:rsidP="00805F51">
            <w:pPr>
              <w:ind w:right="104"/>
              <w:jc w:val="right"/>
              <w:rPr>
                <w:rFonts w:cs="Arial"/>
              </w:rPr>
            </w:pPr>
            <w:r>
              <w:rPr>
                <w:rFonts w:cs="Arial"/>
              </w:rPr>
              <w:t>7.808</w:t>
            </w:r>
          </w:p>
        </w:tc>
        <w:tc>
          <w:tcPr>
            <w:tcW w:w="1275" w:type="dxa"/>
          </w:tcPr>
          <w:p w14:paraId="197B1DA8" w14:textId="77777777" w:rsidR="006578AC" w:rsidRPr="00CC1295" w:rsidRDefault="006578AC" w:rsidP="00805F51">
            <w:pPr>
              <w:ind w:right="104"/>
              <w:jc w:val="right"/>
              <w:rPr>
                <w:rFonts w:cs="Arial"/>
              </w:rPr>
            </w:pPr>
            <w:r>
              <w:rPr>
                <w:rFonts w:cs="Arial"/>
              </w:rPr>
              <w:t>6.061</w:t>
            </w:r>
          </w:p>
        </w:tc>
        <w:tc>
          <w:tcPr>
            <w:tcW w:w="1276" w:type="dxa"/>
          </w:tcPr>
          <w:p w14:paraId="232D82FC" w14:textId="77777777" w:rsidR="006578AC" w:rsidRPr="00CC1295" w:rsidRDefault="006578AC" w:rsidP="00805F51">
            <w:pPr>
              <w:ind w:right="104"/>
              <w:jc w:val="right"/>
              <w:rPr>
                <w:rFonts w:cs="Arial"/>
              </w:rPr>
            </w:pPr>
          </w:p>
        </w:tc>
      </w:tr>
      <w:tr w:rsidR="006578AC" w:rsidRPr="00CC1295" w14:paraId="61180A53" w14:textId="77777777" w:rsidTr="006578AC">
        <w:tc>
          <w:tcPr>
            <w:tcW w:w="3970" w:type="dxa"/>
          </w:tcPr>
          <w:p w14:paraId="32E400C5" w14:textId="77777777" w:rsidR="006578AC" w:rsidRPr="00CC1295" w:rsidRDefault="006578AC" w:rsidP="00805F51">
            <w:pPr>
              <w:rPr>
                <w:rFonts w:cs="Arial"/>
              </w:rPr>
            </w:pPr>
            <w:r w:rsidRPr="00CC1295">
              <w:rPr>
                <w:rFonts w:cs="Arial"/>
              </w:rPr>
              <w:t>Corporate</w:t>
            </w:r>
          </w:p>
        </w:tc>
        <w:tc>
          <w:tcPr>
            <w:tcW w:w="1276" w:type="dxa"/>
          </w:tcPr>
          <w:p w14:paraId="6FFE6014" w14:textId="77777777" w:rsidR="006578AC" w:rsidRPr="00CC1295" w:rsidRDefault="006578AC" w:rsidP="00805F51">
            <w:pPr>
              <w:ind w:right="104"/>
              <w:jc w:val="right"/>
              <w:rPr>
                <w:rFonts w:cs="Arial"/>
              </w:rPr>
            </w:pPr>
            <w:r>
              <w:rPr>
                <w:rFonts w:cs="Arial"/>
              </w:rPr>
              <w:t>28.139</w:t>
            </w:r>
          </w:p>
        </w:tc>
        <w:tc>
          <w:tcPr>
            <w:tcW w:w="1275" w:type="dxa"/>
          </w:tcPr>
          <w:p w14:paraId="0CB8C94B" w14:textId="77777777" w:rsidR="006578AC" w:rsidRPr="00CC1295" w:rsidRDefault="006578AC" w:rsidP="00805F51">
            <w:pPr>
              <w:ind w:right="104"/>
              <w:jc w:val="right"/>
              <w:rPr>
                <w:rFonts w:cs="Arial"/>
              </w:rPr>
            </w:pPr>
            <w:r>
              <w:rPr>
                <w:rFonts w:cs="Arial"/>
              </w:rPr>
              <w:t>24.700</w:t>
            </w:r>
          </w:p>
        </w:tc>
        <w:tc>
          <w:tcPr>
            <w:tcW w:w="1276" w:type="dxa"/>
          </w:tcPr>
          <w:p w14:paraId="280EF69F" w14:textId="77777777" w:rsidR="006578AC" w:rsidRPr="00CC1295" w:rsidRDefault="006578AC" w:rsidP="00805F51">
            <w:pPr>
              <w:ind w:right="104"/>
              <w:jc w:val="right"/>
              <w:rPr>
                <w:rFonts w:cs="Arial"/>
              </w:rPr>
            </w:pPr>
          </w:p>
        </w:tc>
      </w:tr>
      <w:tr w:rsidR="006578AC" w:rsidRPr="00CC1295" w14:paraId="1705592B" w14:textId="77777777" w:rsidTr="006578AC">
        <w:tc>
          <w:tcPr>
            <w:tcW w:w="3970" w:type="dxa"/>
          </w:tcPr>
          <w:p w14:paraId="725106D0" w14:textId="77777777" w:rsidR="006578AC" w:rsidRPr="00CC1295" w:rsidRDefault="006578AC" w:rsidP="00805F51">
            <w:pPr>
              <w:rPr>
                <w:rFonts w:cs="Arial"/>
              </w:rPr>
            </w:pPr>
            <w:r w:rsidRPr="00CC1295">
              <w:rPr>
                <w:rFonts w:cs="Arial"/>
              </w:rPr>
              <w:t>Vehicles</w:t>
            </w:r>
          </w:p>
        </w:tc>
        <w:tc>
          <w:tcPr>
            <w:tcW w:w="1276" w:type="dxa"/>
          </w:tcPr>
          <w:p w14:paraId="297F52A6" w14:textId="77777777" w:rsidR="006578AC" w:rsidRPr="00CC1295" w:rsidRDefault="006578AC" w:rsidP="00805F51">
            <w:pPr>
              <w:ind w:right="104"/>
              <w:jc w:val="right"/>
              <w:rPr>
                <w:rFonts w:cs="Arial"/>
              </w:rPr>
            </w:pPr>
            <w:r>
              <w:rPr>
                <w:rFonts w:cs="Arial"/>
              </w:rPr>
              <w:t>3.910</w:t>
            </w:r>
          </w:p>
        </w:tc>
        <w:tc>
          <w:tcPr>
            <w:tcW w:w="1275" w:type="dxa"/>
          </w:tcPr>
          <w:p w14:paraId="1492722A" w14:textId="77777777" w:rsidR="006578AC" w:rsidRPr="00CC1295" w:rsidRDefault="006578AC" w:rsidP="00805F51">
            <w:pPr>
              <w:ind w:right="104"/>
              <w:jc w:val="right"/>
              <w:rPr>
                <w:rFonts w:cs="Arial"/>
              </w:rPr>
            </w:pPr>
            <w:r>
              <w:rPr>
                <w:rFonts w:cs="Arial"/>
              </w:rPr>
              <w:t>0.000</w:t>
            </w:r>
          </w:p>
        </w:tc>
        <w:tc>
          <w:tcPr>
            <w:tcW w:w="1276" w:type="dxa"/>
          </w:tcPr>
          <w:p w14:paraId="51327027" w14:textId="77777777" w:rsidR="006578AC" w:rsidRPr="00CC1295" w:rsidRDefault="006578AC" w:rsidP="00805F51">
            <w:pPr>
              <w:ind w:right="104"/>
              <w:jc w:val="right"/>
              <w:rPr>
                <w:rFonts w:cs="Arial"/>
              </w:rPr>
            </w:pPr>
          </w:p>
        </w:tc>
      </w:tr>
      <w:tr w:rsidR="006578AC" w:rsidRPr="00CC1295" w14:paraId="618A51E5" w14:textId="77777777" w:rsidTr="006578AC">
        <w:tc>
          <w:tcPr>
            <w:tcW w:w="3970" w:type="dxa"/>
            <w:tcBorders>
              <w:bottom w:val="single" w:sz="4" w:space="0" w:color="auto"/>
            </w:tcBorders>
          </w:tcPr>
          <w:p w14:paraId="433A87A9" w14:textId="77777777" w:rsidR="006578AC" w:rsidRPr="00CC1295" w:rsidRDefault="006578AC" w:rsidP="00805F51">
            <w:pPr>
              <w:rPr>
                <w:rFonts w:cs="Arial"/>
                <w:b/>
              </w:rPr>
            </w:pPr>
            <w:r w:rsidRPr="00CC1295">
              <w:rPr>
                <w:rFonts w:cs="Arial"/>
                <w:b/>
              </w:rPr>
              <w:t>Totals</w:t>
            </w:r>
          </w:p>
        </w:tc>
        <w:tc>
          <w:tcPr>
            <w:tcW w:w="1276" w:type="dxa"/>
            <w:tcBorders>
              <w:bottom w:val="single" w:sz="4" w:space="0" w:color="auto"/>
            </w:tcBorders>
          </w:tcPr>
          <w:p w14:paraId="37732B59" w14:textId="77777777" w:rsidR="006578AC" w:rsidRPr="00CC1295" w:rsidRDefault="006578AC" w:rsidP="00805F51">
            <w:pPr>
              <w:ind w:right="104"/>
              <w:jc w:val="right"/>
              <w:rPr>
                <w:rFonts w:cs="Arial"/>
                <w:b/>
              </w:rPr>
            </w:pPr>
            <w:r>
              <w:rPr>
                <w:rFonts w:cs="Arial"/>
                <w:b/>
              </w:rPr>
              <w:t>161.392</w:t>
            </w:r>
          </w:p>
        </w:tc>
        <w:tc>
          <w:tcPr>
            <w:tcW w:w="1275" w:type="dxa"/>
            <w:tcBorders>
              <w:bottom w:val="single" w:sz="4" w:space="0" w:color="auto"/>
            </w:tcBorders>
          </w:tcPr>
          <w:p w14:paraId="5852BDB6" w14:textId="77777777" w:rsidR="006578AC" w:rsidRPr="00CC1295" w:rsidRDefault="006578AC" w:rsidP="00805F51">
            <w:pPr>
              <w:ind w:right="104"/>
              <w:jc w:val="right"/>
              <w:rPr>
                <w:rFonts w:cs="Arial"/>
                <w:b/>
              </w:rPr>
            </w:pPr>
            <w:r>
              <w:rPr>
                <w:rFonts w:cs="Arial"/>
                <w:b/>
              </w:rPr>
              <w:t>59.928</w:t>
            </w:r>
          </w:p>
        </w:tc>
        <w:tc>
          <w:tcPr>
            <w:tcW w:w="1276" w:type="dxa"/>
            <w:tcBorders>
              <w:bottom w:val="single" w:sz="4" w:space="0" w:color="auto"/>
            </w:tcBorders>
          </w:tcPr>
          <w:p w14:paraId="7944DAC9" w14:textId="77777777" w:rsidR="006578AC" w:rsidRPr="00CC1295" w:rsidRDefault="006578AC" w:rsidP="00805F51">
            <w:pPr>
              <w:ind w:right="104"/>
              <w:jc w:val="right"/>
              <w:rPr>
                <w:rFonts w:cs="Arial"/>
                <w:b/>
              </w:rPr>
            </w:pPr>
            <w:r>
              <w:rPr>
                <w:rFonts w:cs="Arial"/>
                <w:b/>
              </w:rPr>
              <w:t>4.797</w:t>
            </w:r>
          </w:p>
        </w:tc>
      </w:tr>
      <w:tr w:rsidR="006578AC" w:rsidRPr="00CC1295" w14:paraId="77655CEE" w14:textId="77777777" w:rsidTr="006578AC">
        <w:tc>
          <w:tcPr>
            <w:tcW w:w="3970" w:type="dxa"/>
            <w:tcBorders>
              <w:left w:val="nil"/>
              <w:bottom w:val="nil"/>
              <w:right w:val="nil"/>
            </w:tcBorders>
          </w:tcPr>
          <w:p w14:paraId="1274A838" w14:textId="77777777" w:rsidR="006578AC" w:rsidRPr="00CC1295" w:rsidRDefault="006578AC" w:rsidP="00805F51">
            <w:pPr>
              <w:rPr>
                <w:rFonts w:cs="Arial"/>
              </w:rPr>
            </w:pPr>
          </w:p>
        </w:tc>
        <w:tc>
          <w:tcPr>
            <w:tcW w:w="1276" w:type="dxa"/>
            <w:tcBorders>
              <w:left w:val="nil"/>
              <w:bottom w:val="nil"/>
              <w:right w:val="nil"/>
            </w:tcBorders>
          </w:tcPr>
          <w:p w14:paraId="206620A5" w14:textId="77777777" w:rsidR="006578AC" w:rsidRPr="00CC1295" w:rsidRDefault="006578AC" w:rsidP="00805F51">
            <w:pPr>
              <w:ind w:right="104"/>
              <w:jc w:val="right"/>
              <w:rPr>
                <w:rFonts w:cs="Arial"/>
              </w:rPr>
            </w:pPr>
          </w:p>
        </w:tc>
        <w:tc>
          <w:tcPr>
            <w:tcW w:w="1275" w:type="dxa"/>
            <w:tcBorders>
              <w:left w:val="nil"/>
              <w:bottom w:val="nil"/>
              <w:right w:val="nil"/>
            </w:tcBorders>
          </w:tcPr>
          <w:p w14:paraId="08FF2B8B" w14:textId="77777777" w:rsidR="006578AC" w:rsidRPr="00CC1295" w:rsidRDefault="006578AC" w:rsidP="00805F51">
            <w:pPr>
              <w:ind w:right="104"/>
              <w:jc w:val="right"/>
              <w:rPr>
                <w:rFonts w:cs="Arial"/>
              </w:rPr>
            </w:pPr>
          </w:p>
        </w:tc>
        <w:tc>
          <w:tcPr>
            <w:tcW w:w="1276" w:type="dxa"/>
            <w:tcBorders>
              <w:left w:val="nil"/>
              <w:bottom w:val="nil"/>
              <w:right w:val="nil"/>
            </w:tcBorders>
          </w:tcPr>
          <w:p w14:paraId="40361F8E" w14:textId="77777777" w:rsidR="006578AC" w:rsidRPr="00CC1295" w:rsidRDefault="006578AC" w:rsidP="00805F51">
            <w:pPr>
              <w:ind w:right="104"/>
              <w:jc w:val="right"/>
              <w:rPr>
                <w:rFonts w:cs="Arial"/>
              </w:rPr>
            </w:pPr>
          </w:p>
        </w:tc>
      </w:tr>
      <w:tr w:rsidR="006578AC" w:rsidRPr="00CC1295" w14:paraId="09B677C1" w14:textId="77777777" w:rsidTr="006578AC">
        <w:tc>
          <w:tcPr>
            <w:tcW w:w="3970" w:type="dxa"/>
            <w:tcBorders>
              <w:top w:val="nil"/>
              <w:left w:val="nil"/>
              <w:bottom w:val="nil"/>
              <w:right w:val="nil"/>
            </w:tcBorders>
          </w:tcPr>
          <w:p w14:paraId="06AB0835" w14:textId="77777777" w:rsidR="006578AC" w:rsidRPr="00CC1295" w:rsidRDefault="006578AC" w:rsidP="00805F51">
            <w:pPr>
              <w:rPr>
                <w:rFonts w:cs="Arial"/>
              </w:rPr>
            </w:pPr>
            <w:r>
              <w:rPr>
                <w:rFonts w:cs="Arial"/>
              </w:rPr>
              <w:t>Finance by:</w:t>
            </w:r>
          </w:p>
        </w:tc>
        <w:tc>
          <w:tcPr>
            <w:tcW w:w="1276" w:type="dxa"/>
            <w:tcBorders>
              <w:top w:val="nil"/>
              <w:left w:val="nil"/>
              <w:bottom w:val="nil"/>
              <w:right w:val="nil"/>
            </w:tcBorders>
          </w:tcPr>
          <w:p w14:paraId="6A66828A" w14:textId="77777777" w:rsidR="006578AC" w:rsidRPr="00CC1295" w:rsidRDefault="006578AC" w:rsidP="00805F51">
            <w:pPr>
              <w:ind w:right="104"/>
              <w:jc w:val="right"/>
              <w:rPr>
                <w:rFonts w:cs="Arial"/>
              </w:rPr>
            </w:pPr>
          </w:p>
        </w:tc>
        <w:tc>
          <w:tcPr>
            <w:tcW w:w="1275" w:type="dxa"/>
            <w:tcBorders>
              <w:top w:val="nil"/>
              <w:left w:val="nil"/>
              <w:bottom w:val="nil"/>
              <w:right w:val="nil"/>
            </w:tcBorders>
          </w:tcPr>
          <w:p w14:paraId="79AAC531" w14:textId="77777777" w:rsidR="006578AC" w:rsidRPr="00CC1295" w:rsidRDefault="006578AC" w:rsidP="00805F51">
            <w:pPr>
              <w:ind w:right="104"/>
              <w:jc w:val="right"/>
              <w:rPr>
                <w:rFonts w:cs="Arial"/>
              </w:rPr>
            </w:pPr>
          </w:p>
        </w:tc>
        <w:tc>
          <w:tcPr>
            <w:tcW w:w="1276" w:type="dxa"/>
            <w:tcBorders>
              <w:top w:val="nil"/>
              <w:left w:val="nil"/>
              <w:bottom w:val="nil"/>
              <w:right w:val="nil"/>
            </w:tcBorders>
          </w:tcPr>
          <w:p w14:paraId="275BD992" w14:textId="77777777" w:rsidR="006578AC" w:rsidRPr="00CC1295" w:rsidRDefault="006578AC" w:rsidP="00805F51">
            <w:pPr>
              <w:ind w:right="104"/>
              <w:jc w:val="right"/>
              <w:rPr>
                <w:rFonts w:cs="Arial"/>
              </w:rPr>
            </w:pPr>
          </w:p>
        </w:tc>
      </w:tr>
      <w:tr w:rsidR="006578AC" w:rsidRPr="00CC1295" w14:paraId="48563C6E" w14:textId="77777777" w:rsidTr="006578AC">
        <w:tc>
          <w:tcPr>
            <w:tcW w:w="3970" w:type="dxa"/>
            <w:tcBorders>
              <w:top w:val="nil"/>
              <w:left w:val="nil"/>
              <w:right w:val="nil"/>
            </w:tcBorders>
          </w:tcPr>
          <w:p w14:paraId="381CE60E" w14:textId="77777777" w:rsidR="006578AC" w:rsidRDefault="006578AC" w:rsidP="00805F51">
            <w:pPr>
              <w:rPr>
                <w:rFonts w:cs="Arial"/>
              </w:rPr>
            </w:pPr>
          </w:p>
        </w:tc>
        <w:tc>
          <w:tcPr>
            <w:tcW w:w="1276" w:type="dxa"/>
            <w:tcBorders>
              <w:top w:val="nil"/>
              <w:left w:val="nil"/>
              <w:right w:val="nil"/>
            </w:tcBorders>
          </w:tcPr>
          <w:p w14:paraId="47B270BE" w14:textId="77777777" w:rsidR="006578AC" w:rsidRPr="00CC1295" w:rsidRDefault="006578AC" w:rsidP="00805F51">
            <w:pPr>
              <w:ind w:right="104"/>
              <w:jc w:val="right"/>
              <w:rPr>
                <w:rFonts w:cs="Arial"/>
              </w:rPr>
            </w:pPr>
          </w:p>
        </w:tc>
        <w:tc>
          <w:tcPr>
            <w:tcW w:w="1275" w:type="dxa"/>
            <w:tcBorders>
              <w:top w:val="nil"/>
              <w:left w:val="nil"/>
              <w:right w:val="nil"/>
            </w:tcBorders>
          </w:tcPr>
          <w:p w14:paraId="239BF1B5" w14:textId="77777777" w:rsidR="006578AC" w:rsidRPr="00CC1295" w:rsidRDefault="006578AC" w:rsidP="00805F51">
            <w:pPr>
              <w:ind w:right="104"/>
              <w:jc w:val="right"/>
              <w:rPr>
                <w:rFonts w:cs="Arial"/>
              </w:rPr>
            </w:pPr>
          </w:p>
        </w:tc>
        <w:tc>
          <w:tcPr>
            <w:tcW w:w="1276" w:type="dxa"/>
            <w:tcBorders>
              <w:top w:val="nil"/>
              <w:left w:val="nil"/>
              <w:right w:val="nil"/>
            </w:tcBorders>
          </w:tcPr>
          <w:p w14:paraId="30946793" w14:textId="77777777" w:rsidR="006578AC" w:rsidRPr="00CC1295" w:rsidRDefault="006578AC" w:rsidP="00805F51">
            <w:pPr>
              <w:ind w:right="104"/>
              <w:jc w:val="right"/>
              <w:rPr>
                <w:rFonts w:cs="Arial"/>
              </w:rPr>
            </w:pPr>
          </w:p>
        </w:tc>
      </w:tr>
      <w:tr w:rsidR="006578AC" w:rsidRPr="00CC1295" w14:paraId="1918ED26" w14:textId="77777777" w:rsidTr="006578AC">
        <w:tc>
          <w:tcPr>
            <w:tcW w:w="3970" w:type="dxa"/>
          </w:tcPr>
          <w:p w14:paraId="2F59337C" w14:textId="77777777" w:rsidR="006578AC" w:rsidRDefault="006578AC" w:rsidP="00805F51">
            <w:pPr>
              <w:rPr>
                <w:rFonts w:cs="Arial"/>
              </w:rPr>
            </w:pPr>
            <w:r>
              <w:rPr>
                <w:rFonts w:cs="Arial"/>
              </w:rPr>
              <w:t>Borrowing</w:t>
            </w:r>
          </w:p>
        </w:tc>
        <w:tc>
          <w:tcPr>
            <w:tcW w:w="1276" w:type="dxa"/>
          </w:tcPr>
          <w:p w14:paraId="0C18E8A1" w14:textId="77777777" w:rsidR="006578AC" w:rsidRPr="00CC1295" w:rsidRDefault="006578AC" w:rsidP="00805F51">
            <w:pPr>
              <w:ind w:right="104"/>
              <w:jc w:val="right"/>
              <w:rPr>
                <w:rFonts w:cs="Arial"/>
              </w:rPr>
            </w:pPr>
            <w:r>
              <w:rPr>
                <w:rFonts w:cs="Arial"/>
              </w:rPr>
              <w:t>73.610</w:t>
            </w:r>
          </w:p>
        </w:tc>
        <w:tc>
          <w:tcPr>
            <w:tcW w:w="1275" w:type="dxa"/>
          </w:tcPr>
          <w:p w14:paraId="32A10E07" w14:textId="77777777" w:rsidR="006578AC" w:rsidRPr="00CC1295" w:rsidRDefault="006578AC" w:rsidP="00805F51">
            <w:pPr>
              <w:ind w:right="104"/>
              <w:jc w:val="right"/>
              <w:rPr>
                <w:rFonts w:cs="Arial"/>
              </w:rPr>
            </w:pPr>
            <w:r>
              <w:rPr>
                <w:rFonts w:cs="Arial"/>
              </w:rPr>
              <w:t>38.644</w:t>
            </w:r>
          </w:p>
        </w:tc>
        <w:tc>
          <w:tcPr>
            <w:tcW w:w="1276" w:type="dxa"/>
          </w:tcPr>
          <w:p w14:paraId="67A3FC74" w14:textId="77777777" w:rsidR="006578AC" w:rsidRPr="00CC1295" w:rsidRDefault="006578AC" w:rsidP="00805F51">
            <w:pPr>
              <w:ind w:right="104"/>
              <w:jc w:val="right"/>
              <w:rPr>
                <w:rFonts w:cs="Arial"/>
              </w:rPr>
            </w:pPr>
            <w:r>
              <w:rPr>
                <w:rFonts w:cs="Arial"/>
              </w:rPr>
              <w:t>3.455</w:t>
            </w:r>
          </w:p>
        </w:tc>
      </w:tr>
      <w:tr w:rsidR="006578AC" w:rsidRPr="00CC1295" w14:paraId="282B77DD" w14:textId="77777777" w:rsidTr="006578AC">
        <w:tc>
          <w:tcPr>
            <w:tcW w:w="3970" w:type="dxa"/>
          </w:tcPr>
          <w:p w14:paraId="6C4E79B5" w14:textId="77777777" w:rsidR="006578AC" w:rsidRDefault="006578AC" w:rsidP="00805F51">
            <w:pPr>
              <w:rPr>
                <w:rFonts w:cs="Arial"/>
              </w:rPr>
            </w:pPr>
            <w:r>
              <w:rPr>
                <w:rFonts w:cs="Arial"/>
              </w:rPr>
              <w:t>Grants</w:t>
            </w:r>
          </w:p>
        </w:tc>
        <w:tc>
          <w:tcPr>
            <w:tcW w:w="1276" w:type="dxa"/>
          </w:tcPr>
          <w:p w14:paraId="19A009B8" w14:textId="77777777" w:rsidR="006578AC" w:rsidRPr="00CC1295" w:rsidRDefault="006578AC" w:rsidP="00805F51">
            <w:pPr>
              <w:ind w:right="104"/>
              <w:jc w:val="right"/>
              <w:rPr>
                <w:rFonts w:cs="Arial"/>
              </w:rPr>
            </w:pPr>
            <w:r>
              <w:rPr>
                <w:rFonts w:cs="Arial"/>
              </w:rPr>
              <w:t>85.655</w:t>
            </w:r>
          </w:p>
        </w:tc>
        <w:tc>
          <w:tcPr>
            <w:tcW w:w="1275" w:type="dxa"/>
          </w:tcPr>
          <w:p w14:paraId="2BA1A027" w14:textId="77777777" w:rsidR="006578AC" w:rsidRPr="00CC1295" w:rsidRDefault="006578AC" w:rsidP="00805F51">
            <w:pPr>
              <w:ind w:right="104"/>
              <w:jc w:val="right"/>
              <w:rPr>
                <w:rFonts w:cs="Arial"/>
              </w:rPr>
            </w:pPr>
            <w:r>
              <w:rPr>
                <w:rFonts w:cs="Arial"/>
              </w:rPr>
              <w:t>21.284</w:t>
            </w:r>
          </w:p>
        </w:tc>
        <w:tc>
          <w:tcPr>
            <w:tcW w:w="1276" w:type="dxa"/>
          </w:tcPr>
          <w:p w14:paraId="7289B681" w14:textId="77777777" w:rsidR="006578AC" w:rsidRPr="00CC1295" w:rsidRDefault="006578AC" w:rsidP="00805F51">
            <w:pPr>
              <w:ind w:right="104"/>
              <w:jc w:val="right"/>
              <w:rPr>
                <w:rFonts w:cs="Arial"/>
              </w:rPr>
            </w:pPr>
            <w:r>
              <w:rPr>
                <w:rFonts w:cs="Arial"/>
              </w:rPr>
              <w:t>1.342</w:t>
            </w:r>
          </w:p>
        </w:tc>
      </w:tr>
      <w:tr w:rsidR="006578AC" w:rsidRPr="00CC1295" w14:paraId="1CD58920" w14:textId="77777777" w:rsidTr="006578AC">
        <w:tc>
          <w:tcPr>
            <w:tcW w:w="3970" w:type="dxa"/>
          </w:tcPr>
          <w:p w14:paraId="26A21CA6" w14:textId="77777777" w:rsidR="006578AC" w:rsidRDefault="006578AC" w:rsidP="00805F51">
            <w:pPr>
              <w:rPr>
                <w:rFonts w:cs="Arial"/>
              </w:rPr>
            </w:pPr>
            <w:r>
              <w:rPr>
                <w:rFonts w:cs="Arial"/>
              </w:rPr>
              <w:t>Developer contributions</w:t>
            </w:r>
          </w:p>
        </w:tc>
        <w:tc>
          <w:tcPr>
            <w:tcW w:w="1276" w:type="dxa"/>
          </w:tcPr>
          <w:p w14:paraId="3431CB18" w14:textId="77777777" w:rsidR="006578AC" w:rsidRPr="00CC1295" w:rsidRDefault="006578AC" w:rsidP="00805F51">
            <w:pPr>
              <w:ind w:right="104"/>
              <w:jc w:val="right"/>
              <w:rPr>
                <w:rFonts w:cs="Arial"/>
              </w:rPr>
            </w:pPr>
            <w:r>
              <w:rPr>
                <w:rFonts w:cs="Arial"/>
              </w:rPr>
              <w:t>2.097</w:t>
            </w:r>
          </w:p>
        </w:tc>
        <w:tc>
          <w:tcPr>
            <w:tcW w:w="1275" w:type="dxa"/>
          </w:tcPr>
          <w:p w14:paraId="754939CC" w14:textId="77777777" w:rsidR="006578AC" w:rsidRPr="00CC1295" w:rsidRDefault="006578AC" w:rsidP="00805F51">
            <w:pPr>
              <w:ind w:right="104"/>
              <w:jc w:val="right"/>
              <w:rPr>
                <w:rFonts w:cs="Arial"/>
              </w:rPr>
            </w:pPr>
            <w:r>
              <w:rPr>
                <w:rFonts w:cs="Arial"/>
              </w:rPr>
              <w:t>0.000</w:t>
            </w:r>
          </w:p>
        </w:tc>
        <w:tc>
          <w:tcPr>
            <w:tcW w:w="1276" w:type="dxa"/>
          </w:tcPr>
          <w:p w14:paraId="153B3E66" w14:textId="77777777" w:rsidR="006578AC" w:rsidRPr="00CC1295" w:rsidRDefault="006578AC" w:rsidP="00805F51">
            <w:pPr>
              <w:ind w:right="104"/>
              <w:jc w:val="right"/>
              <w:rPr>
                <w:rFonts w:cs="Arial"/>
              </w:rPr>
            </w:pPr>
            <w:r>
              <w:rPr>
                <w:rFonts w:cs="Arial"/>
              </w:rPr>
              <w:t>0.000</w:t>
            </w:r>
          </w:p>
        </w:tc>
      </w:tr>
      <w:tr w:rsidR="006578AC" w:rsidRPr="00CC1295" w14:paraId="7E78ACAD" w14:textId="77777777" w:rsidTr="006578AC">
        <w:tc>
          <w:tcPr>
            <w:tcW w:w="3970" w:type="dxa"/>
          </w:tcPr>
          <w:p w14:paraId="46FA61B3" w14:textId="77777777" w:rsidR="006578AC" w:rsidRDefault="006578AC" w:rsidP="00805F51">
            <w:pPr>
              <w:rPr>
                <w:rFonts w:cs="Arial"/>
              </w:rPr>
            </w:pPr>
            <w:r>
              <w:rPr>
                <w:rFonts w:cs="Arial"/>
              </w:rPr>
              <w:t>3</w:t>
            </w:r>
            <w:r w:rsidRPr="00595996">
              <w:rPr>
                <w:rFonts w:cs="Arial"/>
                <w:vertAlign w:val="superscript"/>
              </w:rPr>
              <w:t>rd</w:t>
            </w:r>
            <w:r>
              <w:rPr>
                <w:rFonts w:cs="Arial"/>
              </w:rPr>
              <w:t xml:space="preserve"> Party contributions</w:t>
            </w:r>
          </w:p>
        </w:tc>
        <w:tc>
          <w:tcPr>
            <w:tcW w:w="1276" w:type="dxa"/>
          </w:tcPr>
          <w:p w14:paraId="0E82D809" w14:textId="77777777" w:rsidR="006578AC" w:rsidRPr="00CC1295" w:rsidRDefault="006578AC" w:rsidP="00805F51">
            <w:pPr>
              <w:ind w:right="104"/>
              <w:jc w:val="right"/>
              <w:rPr>
                <w:rFonts w:cs="Arial"/>
              </w:rPr>
            </w:pPr>
            <w:r>
              <w:rPr>
                <w:rFonts w:cs="Arial"/>
              </w:rPr>
              <w:t>0.031</w:t>
            </w:r>
          </w:p>
        </w:tc>
        <w:tc>
          <w:tcPr>
            <w:tcW w:w="1275" w:type="dxa"/>
          </w:tcPr>
          <w:p w14:paraId="4CA69A19" w14:textId="77777777" w:rsidR="006578AC" w:rsidRPr="00CC1295" w:rsidRDefault="006578AC" w:rsidP="00805F51">
            <w:pPr>
              <w:ind w:right="104"/>
              <w:jc w:val="right"/>
              <w:rPr>
                <w:rFonts w:cs="Arial"/>
              </w:rPr>
            </w:pPr>
            <w:r>
              <w:rPr>
                <w:rFonts w:cs="Arial"/>
              </w:rPr>
              <w:t>0.000</w:t>
            </w:r>
          </w:p>
        </w:tc>
        <w:tc>
          <w:tcPr>
            <w:tcW w:w="1276" w:type="dxa"/>
          </w:tcPr>
          <w:p w14:paraId="2E72A034" w14:textId="77777777" w:rsidR="006578AC" w:rsidRPr="00CC1295" w:rsidRDefault="006578AC" w:rsidP="00805F51">
            <w:pPr>
              <w:ind w:right="104"/>
              <w:jc w:val="right"/>
              <w:rPr>
                <w:rFonts w:cs="Arial"/>
              </w:rPr>
            </w:pPr>
            <w:r>
              <w:rPr>
                <w:rFonts w:cs="Arial"/>
              </w:rPr>
              <w:t>0.000</w:t>
            </w:r>
          </w:p>
        </w:tc>
      </w:tr>
      <w:tr w:rsidR="006578AC" w:rsidRPr="00595996" w14:paraId="7F191F32" w14:textId="77777777" w:rsidTr="006578AC">
        <w:tc>
          <w:tcPr>
            <w:tcW w:w="3970" w:type="dxa"/>
          </w:tcPr>
          <w:p w14:paraId="7685551E" w14:textId="77777777" w:rsidR="006578AC" w:rsidRPr="00595996" w:rsidRDefault="006578AC" w:rsidP="00805F51">
            <w:pPr>
              <w:rPr>
                <w:rFonts w:cs="Arial"/>
                <w:b/>
              </w:rPr>
            </w:pPr>
            <w:r>
              <w:rPr>
                <w:rFonts w:cs="Arial"/>
                <w:b/>
              </w:rPr>
              <w:t>Total funding</w:t>
            </w:r>
          </w:p>
        </w:tc>
        <w:tc>
          <w:tcPr>
            <w:tcW w:w="1276" w:type="dxa"/>
          </w:tcPr>
          <w:p w14:paraId="741F4BDE" w14:textId="77777777" w:rsidR="006578AC" w:rsidRPr="00595996" w:rsidRDefault="006578AC" w:rsidP="00805F51">
            <w:pPr>
              <w:ind w:right="104"/>
              <w:jc w:val="right"/>
              <w:rPr>
                <w:rFonts w:cs="Arial"/>
                <w:b/>
              </w:rPr>
            </w:pPr>
            <w:r>
              <w:rPr>
                <w:rFonts w:cs="Arial"/>
                <w:b/>
              </w:rPr>
              <w:t>161.392</w:t>
            </w:r>
          </w:p>
        </w:tc>
        <w:tc>
          <w:tcPr>
            <w:tcW w:w="1275" w:type="dxa"/>
          </w:tcPr>
          <w:p w14:paraId="6FAE7A1C" w14:textId="77777777" w:rsidR="006578AC" w:rsidRPr="00595996" w:rsidRDefault="006578AC" w:rsidP="00805F51">
            <w:pPr>
              <w:ind w:right="104"/>
              <w:jc w:val="right"/>
              <w:rPr>
                <w:rFonts w:cs="Arial"/>
                <w:b/>
              </w:rPr>
            </w:pPr>
            <w:r>
              <w:rPr>
                <w:rFonts w:cs="Arial"/>
                <w:b/>
              </w:rPr>
              <w:t>59.928</w:t>
            </w:r>
          </w:p>
        </w:tc>
        <w:tc>
          <w:tcPr>
            <w:tcW w:w="1276" w:type="dxa"/>
          </w:tcPr>
          <w:p w14:paraId="138F64C2" w14:textId="77777777" w:rsidR="006578AC" w:rsidRPr="00595996" w:rsidRDefault="006578AC" w:rsidP="00805F51">
            <w:pPr>
              <w:ind w:right="104"/>
              <w:jc w:val="right"/>
              <w:rPr>
                <w:rFonts w:cs="Arial"/>
                <w:b/>
              </w:rPr>
            </w:pPr>
            <w:r>
              <w:rPr>
                <w:rFonts w:cs="Arial"/>
                <w:b/>
              </w:rPr>
              <w:t>4.797</w:t>
            </w:r>
          </w:p>
        </w:tc>
      </w:tr>
    </w:tbl>
    <w:p w14:paraId="01BCFAB3" w14:textId="77777777" w:rsidR="00B75C24" w:rsidRPr="008925CE" w:rsidRDefault="00B75C24" w:rsidP="00B75C24">
      <w:pPr>
        <w:tabs>
          <w:tab w:val="left" w:pos="567"/>
        </w:tabs>
        <w:spacing w:after="0"/>
        <w:ind w:right="-613"/>
        <w:rPr>
          <w:rFonts w:cs="Arial"/>
        </w:rPr>
      </w:pPr>
    </w:p>
    <w:p w14:paraId="49EA616B" w14:textId="77777777" w:rsidR="00B75C24" w:rsidRPr="008925CE" w:rsidRDefault="00B75C24" w:rsidP="00B75C24">
      <w:pPr>
        <w:tabs>
          <w:tab w:val="left" w:pos="567"/>
        </w:tabs>
        <w:spacing w:after="0"/>
        <w:ind w:right="-613"/>
        <w:rPr>
          <w:rFonts w:cs="Arial"/>
        </w:rPr>
      </w:pPr>
    </w:p>
    <w:p w14:paraId="3FA82F26" w14:textId="6C3320FA" w:rsidR="00B75C24" w:rsidRDefault="00B75C24" w:rsidP="00B75C24">
      <w:pPr>
        <w:tabs>
          <w:tab w:val="left" w:pos="567"/>
        </w:tabs>
        <w:spacing w:after="0"/>
        <w:ind w:right="-613"/>
        <w:rPr>
          <w:rFonts w:cs="Arial"/>
        </w:rPr>
      </w:pPr>
      <w:r w:rsidRPr="008925CE">
        <w:rPr>
          <w:rFonts w:cs="Arial"/>
        </w:rPr>
        <w:t xml:space="preserve">The additions to the approved programme for 2018/19 include the use of the 2018/19 grants for highways transport and schools and any </w:t>
      </w:r>
      <w:r>
        <w:rPr>
          <w:rFonts w:cs="Arial"/>
        </w:rPr>
        <w:t>cabinet decisions already made,</w:t>
      </w:r>
      <w:r w:rsidRPr="008925CE">
        <w:rPr>
          <w:rFonts w:cs="Arial"/>
        </w:rPr>
        <w:t xml:space="preserve"> this above does not include the</w:t>
      </w:r>
      <w:r w:rsidR="00073097">
        <w:rPr>
          <w:rFonts w:cs="Arial"/>
        </w:rPr>
        <w:t xml:space="preserve"> potential requests</w:t>
      </w:r>
      <w:r w:rsidRPr="008925CE">
        <w:rPr>
          <w:rFonts w:cs="Arial"/>
        </w:rPr>
        <w:t xml:space="preserve"> for increased funding by borrowing which will be brought forward to cabinet for decisions in future months.  If these are then approved they will be added to the approved programme for delivery and monitoring.</w:t>
      </w:r>
    </w:p>
    <w:p w14:paraId="6AEB0C7F" w14:textId="77777777" w:rsidR="00805F51" w:rsidRDefault="00B75C24" w:rsidP="00B75C24">
      <w:pPr>
        <w:tabs>
          <w:tab w:val="left" w:pos="567"/>
        </w:tabs>
        <w:spacing w:after="0"/>
        <w:ind w:right="-613"/>
        <w:rPr>
          <w:rFonts w:cs="Arial"/>
        </w:rPr>
        <w:sectPr w:rsidR="00805F51">
          <w:pgSz w:w="11906" w:h="16838"/>
          <w:pgMar w:top="1440" w:right="1440" w:bottom="1440" w:left="1440" w:header="708" w:footer="708" w:gutter="0"/>
          <w:cols w:space="708"/>
          <w:docGrid w:linePitch="360"/>
        </w:sectPr>
      </w:pPr>
      <w:r w:rsidRPr="008925CE">
        <w:rPr>
          <w:rFonts w:cs="Arial"/>
        </w:rPr>
        <w:t xml:space="preserve">  </w:t>
      </w:r>
    </w:p>
    <w:p w14:paraId="67247E8B" w14:textId="083C47B2" w:rsidR="00B75C24" w:rsidRDefault="00B75C24" w:rsidP="00B75C24">
      <w:pPr>
        <w:tabs>
          <w:tab w:val="left" w:pos="567"/>
        </w:tabs>
        <w:spacing w:after="0"/>
        <w:ind w:right="-613"/>
        <w:rPr>
          <w:rFonts w:cs="Arial"/>
          <w:b/>
        </w:rPr>
      </w:pPr>
      <w:r w:rsidRPr="008925CE">
        <w:rPr>
          <w:rFonts w:cs="Arial"/>
          <w:b/>
        </w:rPr>
        <w:lastRenderedPageBreak/>
        <w:t xml:space="preserve">Appendix </w:t>
      </w:r>
      <w:r w:rsidR="00073097" w:rsidRPr="008925CE">
        <w:rPr>
          <w:rFonts w:cs="Arial"/>
          <w:b/>
        </w:rPr>
        <w:t>1:</w:t>
      </w:r>
      <w:r w:rsidRPr="008925CE">
        <w:rPr>
          <w:rFonts w:cs="Arial"/>
          <w:b/>
        </w:rPr>
        <w:t xml:space="preserve"> Proposed Additions to 2018/19 included above </w:t>
      </w:r>
    </w:p>
    <w:p w14:paraId="7E17905B" w14:textId="77777777" w:rsidR="00B75C24" w:rsidRPr="008925CE" w:rsidRDefault="00B75C24" w:rsidP="00B75C24">
      <w:pPr>
        <w:tabs>
          <w:tab w:val="left" w:pos="567"/>
        </w:tabs>
        <w:spacing w:after="0"/>
        <w:ind w:right="-613"/>
        <w:rPr>
          <w:rFonts w:cs="Arial"/>
          <w:b/>
        </w:rPr>
      </w:pPr>
    </w:p>
    <w:p w14:paraId="6909E88B" w14:textId="77777777" w:rsidR="00B75C24" w:rsidRDefault="00B75C24" w:rsidP="00B75C24">
      <w:pPr>
        <w:tabs>
          <w:tab w:val="left" w:pos="567"/>
        </w:tabs>
        <w:spacing w:after="0"/>
        <w:ind w:right="-613"/>
        <w:rPr>
          <w:rFonts w:cs="Arial"/>
          <w:b/>
        </w:rPr>
      </w:pPr>
      <w:r w:rsidRPr="008925CE">
        <w:rPr>
          <w:rFonts w:cs="Arial"/>
          <w:b/>
        </w:rPr>
        <w:t>1.</w:t>
      </w:r>
      <w:r>
        <w:rPr>
          <w:rFonts w:cs="Arial"/>
          <w:b/>
        </w:rPr>
        <w:tab/>
      </w:r>
      <w:r w:rsidRPr="008925CE">
        <w:rPr>
          <w:rFonts w:cs="Arial"/>
          <w:b/>
        </w:rPr>
        <w:t xml:space="preserve">Highways </w:t>
      </w:r>
    </w:p>
    <w:p w14:paraId="3C2B1581" w14:textId="77777777" w:rsidR="00B75C24" w:rsidRPr="008925CE" w:rsidRDefault="00B75C24" w:rsidP="00B75C24">
      <w:pPr>
        <w:tabs>
          <w:tab w:val="left" w:pos="567"/>
        </w:tabs>
        <w:spacing w:after="0"/>
        <w:ind w:right="-613"/>
        <w:rPr>
          <w:rFonts w:cs="Arial"/>
          <w:b/>
        </w:rPr>
      </w:pPr>
    </w:p>
    <w:p w14:paraId="5BE4DD1D" w14:textId="77777777" w:rsidR="00B75C24" w:rsidRDefault="00B75C24" w:rsidP="00B75C24">
      <w:pPr>
        <w:tabs>
          <w:tab w:val="left" w:pos="567"/>
        </w:tabs>
        <w:spacing w:after="0"/>
        <w:ind w:right="-613"/>
        <w:rPr>
          <w:rFonts w:cs="Arial"/>
        </w:rPr>
      </w:pPr>
      <w:r w:rsidRPr="008925CE">
        <w:rPr>
          <w:rFonts w:cs="Arial"/>
        </w:rPr>
        <w:t xml:space="preserve">The total value of the 2018/19 new start highway maintenance programme is anticipated to be £25.886 million comprising of: </w:t>
      </w:r>
    </w:p>
    <w:p w14:paraId="760386E9" w14:textId="77777777" w:rsidR="00B75C24" w:rsidRPr="008925CE" w:rsidRDefault="00B75C24" w:rsidP="00B75C24">
      <w:pPr>
        <w:tabs>
          <w:tab w:val="left" w:pos="567"/>
        </w:tabs>
        <w:spacing w:after="0"/>
        <w:ind w:right="-613"/>
        <w:rPr>
          <w:rFonts w:cs="Arial"/>
        </w:rPr>
      </w:pPr>
    </w:p>
    <w:p w14:paraId="005B8FA3" w14:textId="441A0BE4" w:rsidR="00B75C24" w:rsidRPr="008925CE" w:rsidRDefault="00B75C24" w:rsidP="00B75C24">
      <w:pPr>
        <w:numPr>
          <w:ilvl w:val="0"/>
          <w:numId w:val="35"/>
        </w:numPr>
        <w:tabs>
          <w:tab w:val="left" w:pos="567"/>
        </w:tabs>
        <w:autoSpaceDE/>
        <w:autoSpaceDN/>
        <w:adjustRightInd/>
        <w:spacing w:after="0"/>
        <w:ind w:left="567" w:right="-613" w:hanging="567"/>
        <w:contextualSpacing/>
        <w:rPr>
          <w:rFonts w:cs="Arial"/>
        </w:rPr>
      </w:pPr>
      <w:r w:rsidRPr="008925CE">
        <w:rPr>
          <w:rFonts w:cs="Arial"/>
        </w:rPr>
        <w:t>Department for Transport (DfT) Highways Maintenance Block 'needs' allocation funding.</w:t>
      </w:r>
      <w:r w:rsidR="006578AC">
        <w:rPr>
          <w:rFonts w:cs="Arial"/>
        </w:rPr>
        <w:t xml:space="preserve"> </w:t>
      </w:r>
      <w:r w:rsidRPr="008925CE">
        <w:rPr>
          <w:rFonts w:cs="Arial"/>
        </w:rPr>
        <w:t xml:space="preserve"> The indicative value in 2018-19 is £18.564 million</w:t>
      </w:r>
    </w:p>
    <w:p w14:paraId="53A1FE69" w14:textId="5C4AD577" w:rsidR="00B75C24" w:rsidRPr="008925CE" w:rsidRDefault="00B75C24" w:rsidP="00B75C24">
      <w:pPr>
        <w:numPr>
          <w:ilvl w:val="0"/>
          <w:numId w:val="35"/>
        </w:numPr>
        <w:tabs>
          <w:tab w:val="left" w:pos="567"/>
        </w:tabs>
        <w:autoSpaceDE/>
        <w:autoSpaceDN/>
        <w:adjustRightInd/>
        <w:spacing w:after="0"/>
        <w:ind w:left="567" w:right="-613" w:hanging="567"/>
        <w:contextualSpacing/>
        <w:rPr>
          <w:rFonts w:cs="Arial"/>
        </w:rPr>
      </w:pPr>
      <w:r w:rsidRPr="008925CE">
        <w:rPr>
          <w:rFonts w:cs="Arial"/>
        </w:rPr>
        <w:t xml:space="preserve">Anticipated DfT Local Highways Maintenance Incentive funding of £3.867 million. </w:t>
      </w:r>
      <w:r w:rsidR="006578AC">
        <w:rPr>
          <w:rFonts w:cs="Arial"/>
        </w:rPr>
        <w:t xml:space="preserve"> </w:t>
      </w:r>
      <w:r w:rsidRPr="008925CE">
        <w:rPr>
          <w:rFonts w:cs="Arial"/>
        </w:rPr>
        <w:t>This level of funding is dependent on the county council maintaining its Band 3 status.</w:t>
      </w:r>
      <w:r w:rsidR="006578AC">
        <w:rPr>
          <w:rFonts w:cs="Arial"/>
        </w:rPr>
        <w:t xml:space="preserve"> </w:t>
      </w:r>
      <w:r w:rsidRPr="008925CE">
        <w:rPr>
          <w:rFonts w:cs="Arial"/>
        </w:rPr>
        <w:t xml:space="preserve"> The final allocation is not anticipated until April 2018</w:t>
      </w:r>
    </w:p>
    <w:p w14:paraId="08A9E3B5" w14:textId="27283212" w:rsidR="00B75C24" w:rsidRPr="008925CE" w:rsidRDefault="00B75C24" w:rsidP="00B75C24">
      <w:pPr>
        <w:numPr>
          <w:ilvl w:val="0"/>
          <w:numId w:val="35"/>
        </w:numPr>
        <w:tabs>
          <w:tab w:val="left" w:pos="567"/>
        </w:tabs>
        <w:autoSpaceDE/>
        <w:autoSpaceDN/>
        <w:adjustRightInd/>
        <w:spacing w:after="0"/>
        <w:ind w:left="567" w:right="-613" w:hanging="567"/>
        <w:contextualSpacing/>
        <w:rPr>
          <w:rFonts w:cs="Arial"/>
        </w:rPr>
      </w:pPr>
      <w:r w:rsidRPr="008925CE">
        <w:rPr>
          <w:rFonts w:cs="Arial"/>
        </w:rPr>
        <w:t>Cabinet approved</w:t>
      </w:r>
      <w:r w:rsidR="006578AC">
        <w:rPr>
          <w:rFonts w:cs="Arial"/>
        </w:rPr>
        <w:t xml:space="preserve"> budget options with a value of</w:t>
      </w:r>
      <w:r w:rsidRPr="008925CE">
        <w:rPr>
          <w:rFonts w:cs="Arial"/>
        </w:rPr>
        <w:t xml:space="preserve"> £3.455 million to capitalise a number of revenue funded activities that will be funded by borrowing </w:t>
      </w:r>
    </w:p>
    <w:p w14:paraId="78914548" w14:textId="77777777" w:rsidR="00B75C24" w:rsidRPr="008925CE" w:rsidRDefault="00B75C24" w:rsidP="00B75C24">
      <w:pPr>
        <w:tabs>
          <w:tab w:val="left" w:pos="567"/>
        </w:tabs>
        <w:spacing w:after="0"/>
        <w:ind w:right="-613"/>
        <w:rPr>
          <w:rFonts w:cs="Arial"/>
        </w:rPr>
      </w:pPr>
    </w:p>
    <w:p w14:paraId="781BD3A3" w14:textId="77777777" w:rsidR="00B75C24" w:rsidRPr="008925CE" w:rsidRDefault="00B75C24" w:rsidP="00B75C24">
      <w:pPr>
        <w:tabs>
          <w:tab w:val="left" w:pos="567"/>
        </w:tabs>
        <w:spacing w:after="0"/>
        <w:ind w:right="-613"/>
        <w:rPr>
          <w:rFonts w:cs="Arial"/>
        </w:rPr>
      </w:pPr>
      <w:r w:rsidRPr="008925CE">
        <w:rPr>
          <w:rFonts w:cs="Arial"/>
        </w:rPr>
        <w:t>Details of the proposed apportionment of these resources is outlined in tables 1- 5 below.</w:t>
      </w:r>
    </w:p>
    <w:p w14:paraId="5E93176A" w14:textId="77777777" w:rsidR="00B75C24" w:rsidRPr="008925CE" w:rsidRDefault="00B75C24" w:rsidP="00B75C24">
      <w:pPr>
        <w:tabs>
          <w:tab w:val="left" w:pos="567"/>
        </w:tabs>
        <w:spacing w:after="0"/>
        <w:ind w:right="-613"/>
        <w:rPr>
          <w:rFonts w:cs="Arial"/>
          <w:b/>
        </w:rPr>
      </w:pPr>
    </w:p>
    <w:p w14:paraId="4BF61972" w14:textId="77777777" w:rsidR="00B75C24" w:rsidRPr="008925CE" w:rsidRDefault="00B75C24" w:rsidP="00B75C24">
      <w:pPr>
        <w:tabs>
          <w:tab w:val="left" w:pos="567"/>
        </w:tabs>
        <w:spacing w:after="0"/>
        <w:ind w:right="-613"/>
        <w:rPr>
          <w:rFonts w:cs="Arial"/>
          <w:b/>
        </w:rPr>
      </w:pPr>
      <w:r w:rsidRPr="008925CE">
        <w:rPr>
          <w:rFonts w:cs="Arial"/>
          <w:b/>
        </w:rPr>
        <w:t>Proposed apportionment of the Department for Transport (DfT) Highways Maintenance Block 'Needs' Allocation</w:t>
      </w:r>
    </w:p>
    <w:p w14:paraId="3B3AFF62" w14:textId="77777777" w:rsidR="00B75C24" w:rsidRPr="008925CE" w:rsidRDefault="00B75C24" w:rsidP="00B75C24">
      <w:pPr>
        <w:tabs>
          <w:tab w:val="left" w:pos="567"/>
        </w:tabs>
        <w:spacing w:after="0"/>
        <w:ind w:right="-613"/>
        <w:rPr>
          <w:rFonts w:cs="Arial"/>
          <w:b/>
        </w:rPr>
      </w:pPr>
    </w:p>
    <w:p w14:paraId="61642BB1" w14:textId="7C8FF280" w:rsidR="00B75C24" w:rsidRPr="008925CE" w:rsidRDefault="00B75C24" w:rsidP="00B75C24">
      <w:pPr>
        <w:tabs>
          <w:tab w:val="left" w:pos="567"/>
        </w:tabs>
        <w:spacing w:after="0"/>
        <w:ind w:right="-613"/>
        <w:rPr>
          <w:rFonts w:cs="Arial"/>
        </w:rPr>
      </w:pPr>
      <w:r w:rsidRPr="008925CE">
        <w:rPr>
          <w:rFonts w:cs="Arial"/>
        </w:rPr>
        <w:t xml:space="preserve">Table 1 below sets out the proposed apportionment of the Department for Transport (DfT) Highways Maintenance Block 'Needs' allocation.  The first priority has been to ensure that the level of funding for each asset type is aligned with the level of funding outlined in the approved Transport Asset Management Plan (TAMP). </w:t>
      </w:r>
      <w:r w:rsidR="00805F51">
        <w:rPr>
          <w:rFonts w:cs="Arial"/>
        </w:rPr>
        <w:t xml:space="preserve"> </w:t>
      </w:r>
      <w:r w:rsidRPr="008925CE">
        <w:rPr>
          <w:rFonts w:cs="Arial"/>
        </w:rPr>
        <w:t>As the indicative DfT Highway Maintenance Block Needs allocation will not be sufficient to maintain this level of funding for each asset type it is proposed that the shortfall of £1.6 million is the first call on the anticipated Incentive funding as detailed in Table 2.</w:t>
      </w:r>
    </w:p>
    <w:p w14:paraId="5AECFE04" w14:textId="77777777" w:rsidR="00B75C24" w:rsidRPr="008925CE" w:rsidRDefault="00B75C24" w:rsidP="00B75C24">
      <w:pPr>
        <w:tabs>
          <w:tab w:val="left" w:pos="567"/>
        </w:tabs>
        <w:spacing w:after="0"/>
        <w:ind w:right="-613"/>
        <w:rPr>
          <w:rFonts w:cs="Arial"/>
          <w:b/>
        </w:rPr>
      </w:pPr>
    </w:p>
    <w:p w14:paraId="50D9BBB0" w14:textId="77777777" w:rsidR="00B75C24" w:rsidRDefault="00B75C24" w:rsidP="00B75C24">
      <w:pPr>
        <w:tabs>
          <w:tab w:val="left" w:pos="567"/>
        </w:tabs>
        <w:spacing w:after="0"/>
        <w:ind w:right="-613"/>
        <w:rPr>
          <w:rFonts w:cs="Arial"/>
          <w:b/>
        </w:rPr>
      </w:pPr>
      <w:r w:rsidRPr="008925CE">
        <w:rPr>
          <w:rFonts w:cs="Arial"/>
          <w:b/>
        </w:rPr>
        <w:t>Table 1</w:t>
      </w:r>
    </w:p>
    <w:p w14:paraId="19F5BD5A" w14:textId="77777777" w:rsidR="009D6093" w:rsidRPr="008925CE" w:rsidRDefault="009D6093" w:rsidP="00B75C24">
      <w:pPr>
        <w:tabs>
          <w:tab w:val="left" w:pos="567"/>
        </w:tabs>
        <w:spacing w:after="0"/>
        <w:ind w:right="-613"/>
        <w:rPr>
          <w:rFonts w:cs="Arial"/>
          <w:b/>
        </w:rPr>
      </w:pPr>
    </w:p>
    <w:tbl>
      <w:tblPr>
        <w:tblStyle w:val="TableGrid"/>
        <w:tblW w:w="7366" w:type="dxa"/>
        <w:tblLayout w:type="fixed"/>
        <w:tblLook w:val="04A0" w:firstRow="1" w:lastRow="0" w:firstColumn="1" w:lastColumn="0" w:noHBand="0" w:noVBand="1"/>
      </w:tblPr>
      <w:tblGrid>
        <w:gridCol w:w="3114"/>
        <w:gridCol w:w="4252"/>
      </w:tblGrid>
      <w:tr w:rsidR="00B75C24" w:rsidRPr="00805F51" w14:paraId="298B788E" w14:textId="77777777" w:rsidTr="009D6093">
        <w:trPr>
          <w:tblHeader/>
        </w:trPr>
        <w:tc>
          <w:tcPr>
            <w:tcW w:w="3114" w:type="dxa"/>
            <w:vMerge w:val="restart"/>
            <w:shd w:val="clear" w:color="auto" w:fill="D9D9D9" w:themeFill="background1" w:themeFillShade="D9"/>
          </w:tcPr>
          <w:p w14:paraId="4C023FC7" w14:textId="77777777" w:rsidR="00B75C24" w:rsidRPr="00805F51" w:rsidRDefault="00B75C24" w:rsidP="009D6093">
            <w:pPr>
              <w:tabs>
                <w:tab w:val="left" w:pos="567"/>
              </w:tabs>
              <w:spacing w:after="0"/>
              <w:ind w:right="-613"/>
              <w:rPr>
                <w:rFonts w:eastAsiaTheme="minorHAnsi" w:cs="Arial"/>
              </w:rPr>
            </w:pPr>
            <w:r w:rsidRPr="00805F51">
              <w:rPr>
                <w:rFonts w:eastAsiaTheme="minorHAnsi" w:cs="Arial"/>
              </w:rPr>
              <w:t>Programme</w:t>
            </w:r>
          </w:p>
        </w:tc>
        <w:tc>
          <w:tcPr>
            <w:tcW w:w="4252" w:type="dxa"/>
            <w:shd w:val="clear" w:color="auto" w:fill="D9D9D9" w:themeFill="background1" w:themeFillShade="D9"/>
          </w:tcPr>
          <w:p w14:paraId="0D55A444" w14:textId="77777777" w:rsidR="00B75C24" w:rsidRPr="00805F51" w:rsidRDefault="00B75C24" w:rsidP="009D6093">
            <w:pPr>
              <w:tabs>
                <w:tab w:val="left" w:pos="567"/>
              </w:tabs>
              <w:spacing w:after="0"/>
              <w:ind w:right="-613"/>
              <w:jc w:val="left"/>
              <w:rPr>
                <w:rFonts w:eastAsiaTheme="minorHAnsi" w:cs="Arial"/>
              </w:rPr>
            </w:pPr>
            <w:r w:rsidRPr="00805F51">
              <w:rPr>
                <w:rFonts w:eastAsiaTheme="minorHAnsi" w:cs="Arial"/>
              </w:rPr>
              <w:t>Proposed Allocation (£m)</w:t>
            </w:r>
          </w:p>
        </w:tc>
      </w:tr>
      <w:tr w:rsidR="00B75C24" w:rsidRPr="00805F51" w14:paraId="62321583" w14:textId="77777777" w:rsidTr="009D6093">
        <w:trPr>
          <w:tblHeader/>
        </w:trPr>
        <w:tc>
          <w:tcPr>
            <w:tcW w:w="3114" w:type="dxa"/>
            <w:vMerge/>
          </w:tcPr>
          <w:p w14:paraId="669CADBC" w14:textId="77777777" w:rsidR="00B75C24" w:rsidRPr="00805F51" w:rsidRDefault="00B75C24" w:rsidP="009D6093">
            <w:pPr>
              <w:tabs>
                <w:tab w:val="left" w:pos="567"/>
              </w:tabs>
              <w:spacing w:after="0"/>
              <w:ind w:right="-613"/>
              <w:rPr>
                <w:rFonts w:eastAsiaTheme="minorHAnsi" w:cs="Arial"/>
              </w:rPr>
            </w:pPr>
          </w:p>
        </w:tc>
        <w:tc>
          <w:tcPr>
            <w:tcW w:w="4252" w:type="dxa"/>
            <w:shd w:val="clear" w:color="auto" w:fill="D9D9D9" w:themeFill="background1" w:themeFillShade="D9"/>
          </w:tcPr>
          <w:p w14:paraId="57724725" w14:textId="77777777" w:rsidR="009D6093" w:rsidRDefault="00B75C24" w:rsidP="009D6093">
            <w:pPr>
              <w:tabs>
                <w:tab w:val="left" w:pos="567"/>
              </w:tabs>
              <w:spacing w:after="0"/>
              <w:ind w:right="33"/>
              <w:jc w:val="left"/>
              <w:rPr>
                <w:rFonts w:eastAsiaTheme="minorHAnsi" w:cs="Arial"/>
              </w:rPr>
            </w:pPr>
            <w:r w:rsidRPr="00805F51">
              <w:rPr>
                <w:rFonts w:eastAsiaTheme="minorHAnsi" w:cs="Arial"/>
              </w:rPr>
              <w:t xml:space="preserve">Department for Transport Highways Maintenance Block 'needs' funding </w:t>
            </w:r>
          </w:p>
          <w:p w14:paraId="23C1F072" w14:textId="56202D82" w:rsidR="00B75C24" w:rsidRPr="00805F51" w:rsidRDefault="00B75C24" w:rsidP="009D6093">
            <w:pPr>
              <w:tabs>
                <w:tab w:val="left" w:pos="567"/>
              </w:tabs>
              <w:spacing w:after="0"/>
              <w:ind w:right="317"/>
              <w:jc w:val="right"/>
              <w:rPr>
                <w:rFonts w:eastAsiaTheme="minorHAnsi" w:cs="Arial"/>
              </w:rPr>
            </w:pPr>
            <w:r w:rsidRPr="00805F51">
              <w:rPr>
                <w:rFonts w:eastAsiaTheme="minorHAnsi" w:cs="Arial"/>
              </w:rPr>
              <w:t>(£m)</w:t>
            </w:r>
          </w:p>
        </w:tc>
      </w:tr>
      <w:tr w:rsidR="00B75C24" w:rsidRPr="00805F51" w14:paraId="0B64E583" w14:textId="77777777" w:rsidTr="009D6093">
        <w:tc>
          <w:tcPr>
            <w:tcW w:w="3114" w:type="dxa"/>
            <w:tcBorders>
              <w:top w:val="single" w:sz="4" w:space="0" w:color="auto"/>
              <w:left w:val="single" w:sz="8" w:space="0" w:color="auto"/>
              <w:bottom w:val="single" w:sz="4" w:space="0" w:color="auto"/>
              <w:right w:val="single" w:sz="4" w:space="0" w:color="auto"/>
            </w:tcBorders>
            <w:shd w:val="clear" w:color="000000" w:fill="FFFFFF"/>
            <w:vAlign w:val="center"/>
          </w:tcPr>
          <w:p w14:paraId="36702319" w14:textId="77777777" w:rsidR="00B75C24" w:rsidRPr="00805F51" w:rsidRDefault="00B75C24" w:rsidP="00805F51">
            <w:pPr>
              <w:tabs>
                <w:tab w:val="left" w:pos="567"/>
              </w:tabs>
              <w:ind w:right="-613"/>
              <w:rPr>
                <w:rFonts w:eastAsiaTheme="minorHAnsi" w:cs="Arial"/>
              </w:rPr>
            </w:pPr>
            <w:r w:rsidRPr="00805F51">
              <w:rPr>
                <w:rFonts w:eastAsiaTheme="minorHAnsi" w:cs="Arial"/>
              </w:rPr>
              <w:t>TAMP Priorities</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F4E20" w14:textId="77777777" w:rsidR="00B75C24" w:rsidRPr="00805F51" w:rsidRDefault="00B75C24" w:rsidP="00805F51">
            <w:pPr>
              <w:tabs>
                <w:tab w:val="left" w:pos="567"/>
              </w:tabs>
              <w:ind w:right="-613"/>
              <w:rPr>
                <w:rFonts w:eastAsiaTheme="minorHAnsi" w:cs="Arial"/>
              </w:rPr>
            </w:pPr>
          </w:p>
        </w:tc>
      </w:tr>
      <w:tr w:rsidR="00B75C24" w:rsidRPr="00805F51" w14:paraId="04585185" w14:textId="77777777" w:rsidTr="009D6093">
        <w:tc>
          <w:tcPr>
            <w:tcW w:w="3114" w:type="dxa"/>
            <w:tcBorders>
              <w:top w:val="single" w:sz="4" w:space="0" w:color="auto"/>
              <w:left w:val="single" w:sz="8" w:space="0" w:color="auto"/>
              <w:bottom w:val="single" w:sz="4" w:space="0" w:color="auto"/>
              <w:right w:val="single" w:sz="4" w:space="0" w:color="auto"/>
            </w:tcBorders>
            <w:shd w:val="clear" w:color="000000" w:fill="FFFFFF"/>
            <w:vAlign w:val="center"/>
          </w:tcPr>
          <w:p w14:paraId="38C59BCC" w14:textId="77777777" w:rsidR="00B75C24" w:rsidRPr="00805F51" w:rsidRDefault="00B75C24" w:rsidP="00805F51">
            <w:pPr>
              <w:tabs>
                <w:tab w:val="left" w:pos="567"/>
              </w:tabs>
              <w:ind w:right="-613"/>
              <w:rPr>
                <w:rFonts w:eastAsiaTheme="minorHAnsi" w:cs="Arial"/>
              </w:rPr>
            </w:pPr>
            <w:r w:rsidRPr="00805F51">
              <w:rPr>
                <w:rFonts w:eastAsiaTheme="minorHAnsi" w:cs="Arial"/>
              </w:rPr>
              <w:t>ABC</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6A659" w14:textId="4E795AB2" w:rsidR="00B75C24" w:rsidRPr="00805F51" w:rsidRDefault="00B75C24" w:rsidP="00805F51">
            <w:pPr>
              <w:tabs>
                <w:tab w:val="left" w:pos="567"/>
              </w:tabs>
              <w:ind w:right="317"/>
              <w:jc w:val="right"/>
              <w:rPr>
                <w:rFonts w:eastAsiaTheme="minorHAnsi" w:cs="Arial"/>
              </w:rPr>
            </w:pPr>
            <w:r w:rsidRPr="00805F51">
              <w:rPr>
                <w:rFonts w:eastAsiaTheme="minorHAnsi" w:cs="Arial"/>
              </w:rPr>
              <w:t>8.000</w:t>
            </w:r>
          </w:p>
        </w:tc>
      </w:tr>
      <w:tr w:rsidR="00B75C24" w:rsidRPr="00805F51" w14:paraId="6F13599C" w14:textId="77777777" w:rsidTr="009D6093">
        <w:tc>
          <w:tcPr>
            <w:tcW w:w="3114" w:type="dxa"/>
            <w:tcBorders>
              <w:top w:val="nil"/>
              <w:left w:val="single" w:sz="8" w:space="0" w:color="auto"/>
              <w:bottom w:val="single" w:sz="4" w:space="0" w:color="auto"/>
              <w:right w:val="single" w:sz="4" w:space="0" w:color="auto"/>
            </w:tcBorders>
            <w:shd w:val="clear" w:color="000000" w:fill="FFFFFF"/>
            <w:vAlign w:val="center"/>
          </w:tcPr>
          <w:p w14:paraId="4B3BFCBC" w14:textId="77777777" w:rsidR="00B75C24" w:rsidRPr="00805F51" w:rsidRDefault="00B75C24" w:rsidP="00805F51">
            <w:pPr>
              <w:tabs>
                <w:tab w:val="left" w:pos="567"/>
              </w:tabs>
              <w:ind w:right="-613"/>
              <w:rPr>
                <w:rFonts w:eastAsiaTheme="minorHAnsi" w:cs="Arial"/>
              </w:rPr>
            </w:pPr>
            <w:r w:rsidRPr="00805F51">
              <w:rPr>
                <w:rFonts w:eastAsiaTheme="minorHAnsi" w:cs="Arial"/>
              </w:rPr>
              <w:t>Rural Unclassified</w:t>
            </w:r>
          </w:p>
        </w:tc>
        <w:tc>
          <w:tcPr>
            <w:tcW w:w="4252" w:type="dxa"/>
            <w:tcBorders>
              <w:top w:val="nil"/>
              <w:left w:val="single" w:sz="4" w:space="0" w:color="auto"/>
              <w:bottom w:val="single" w:sz="4" w:space="0" w:color="auto"/>
              <w:right w:val="single" w:sz="4" w:space="0" w:color="auto"/>
            </w:tcBorders>
            <w:shd w:val="clear" w:color="auto" w:fill="FFFFFF" w:themeFill="background1"/>
            <w:vAlign w:val="center"/>
          </w:tcPr>
          <w:p w14:paraId="575B9296" w14:textId="20994EC2" w:rsidR="00B75C24" w:rsidRPr="00805F51" w:rsidRDefault="00B75C24" w:rsidP="00805F51">
            <w:pPr>
              <w:tabs>
                <w:tab w:val="left" w:pos="567"/>
              </w:tabs>
              <w:ind w:right="317"/>
              <w:jc w:val="right"/>
              <w:rPr>
                <w:rFonts w:eastAsiaTheme="minorHAnsi" w:cs="Arial"/>
              </w:rPr>
            </w:pPr>
            <w:r w:rsidRPr="00805F51">
              <w:rPr>
                <w:rFonts w:eastAsiaTheme="minorHAnsi" w:cs="Arial"/>
              </w:rPr>
              <w:t>0.800</w:t>
            </w:r>
          </w:p>
        </w:tc>
      </w:tr>
      <w:tr w:rsidR="00B75C24" w:rsidRPr="00805F51" w14:paraId="0F8A9E5C" w14:textId="77777777" w:rsidTr="009D6093">
        <w:tc>
          <w:tcPr>
            <w:tcW w:w="3114" w:type="dxa"/>
            <w:tcBorders>
              <w:top w:val="nil"/>
              <w:left w:val="single" w:sz="8" w:space="0" w:color="auto"/>
              <w:bottom w:val="single" w:sz="4" w:space="0" w:color="auto"/>
              <w:right w:val="single" w:sz="4" w:space="0" w:color="auto"/>
            </w:tcBorders>
            <w:shd w:val="clear" w:color="000000" w:fill="FFFFFF"/>
            <w:vAlign w:val="center"/>
          </w:tcPr>
          <w:p w14:paraId="54619CB3" w14:textId="77777777" w:rsidR="00B75C24" w:rsidRPr="00805F51" w:rsidRDefault="00B75C24" w:rsidP="00805F51">
            <w:pPr>
              <w:tabs>
                <w:tab w:val="left" w:pos="567"/>
              </w:tabs>
              <w:ind w:right="-613"/>
              <w:rPr>
                <w:rFonts w:eastAsiaTheme="minorHAnsi" w:cs="Arial"/>
              </w:rPr>
            </w:pPr>
            <w:r w:rsidRPr="00805F51">
              <w:rPr>
                <w:rFonts w:eastAsiaTheme="minorHAnsi" w:cs="Arial"/>
              </w:rPr>
              <w:t>Urban Unclassified</w:t>
            </w:r>
          </w:p>
        </w:tc>
        <w:tc>
          <w:tcPr>
            <w:tcW w:w="4252" w:type="dxa"/>
            <w:tcBorders>
              <w:top w:val="nil"/>
              <w:left w:val="single" w:sz="4" w:space="0" w:color="auto"/>
              <w:bottom w:val="single" w:sz="4" w:space="0" w:color="auto"/>
              <w:right w:val="single" w:sz="4" w:space="0" w:color="auto"/>
            </w:tcBorders>
            <w:shd w:val="clear" w:color="auto" w:fill="FFFFFF" w:themeFill="background1"/>
            <w:vAlign w:val="center"/>
          </w:tcPr>
          <w:p w14:paraId="3FC54F93" w14:textId="346F3820" w:rsidR="00B75C24" w:rsidRPr="00805F51" w:rsidRDefault="00B75C24" w:rsidP="00805F51">
            <w:pPr>
              <w:tabs>
                <w:tab w:val="left" w:pos="567"/>
              </w:tabs>
              <w:ind w:right="317"/>
              <w:jc w:val="right"/>
              <w:rPr>
                <w:rFonts w:eastAsiaTheme="minorHAnsi" w:cs="Arial"/>
              </w:rPr>
            </w:pPr>
            <w:r w:rsidRPr="00805F51">
              <w:rPr>
                <w:rFonts w:eastAsiaTheme="minorHAnsi" w:cs="Arial"/>
              </w:rPr>
              <w:t>1.000</w:t>
            </w:r>
          </w:p>
        </w:tc>
      </w:tr>
      <w:tr w:rsidR="00B75C24" w:rsidRPr="00805F51" w14:paraId="3C0ADC2F" w14:textId="77777777" w:rsidTr="009D6093">
        <w:tc>
          <w:tcPr>
            <w:tcW w:w="3114" w:type="dxa"/>
            <w:tcBorders>
              <w:top w:val="nil"/>
              <w:left w:val="single" w:sz="8" w:space="0" w:color="auto"/>
              <w:bottom w:val="single" w:sz="4" w:space="0" w:color="auto"/>
              <w:right w:val="single" w:sz="4" w:space="0" w:color="auto"/>
            </w:tcBorders>
            <w:shd w:val="clear" w:color="000000" w:fill="FFFFFF"/>
            <w:vAlign w:val="center"/>
          </w:tcPr>
          <w:p w14:paraId="53E9EEBC" w14:textId="77777777" w:rsidR="00B75C24" w:rsidRPr="00805F51" w:rsidRDefault="00B75C24" w:rsidP="00805F51">
            <w:pPr>
              <w:tabs>
                <w:tab w:val="left" w:pos="567"/>
              </w:tabs>
              <w:ind w:right="-613"/>
              <w:rPr>
                <w:rFonts w:eastAsiaTheme="minorHAnsi" w:cs="Arial"/>
              </w:rPr>
            </w:pPr>
            <w:r w:rsidRPr="00805F51">
              <w:rPr>
                <w:rFonts w:eastAsiaTheme="minorHAnsi" w:cs="Arial"/>
              </w:rPr>
              <w:t>Footways</w:t>
            </w:r>
          </w:p>
        </w:tc>
        <w:tc>
          <w:tcPr>
            <w:tcW w:w="4252" w:type="dxa"/>
            <w:tcBorders>
              <w:top w:val="nil"/>
              <w:left w:val="single" w:sz="4" w:space="0" w:color="auto"/>
              <w:bottom w:val="single" w:sz="4" w:space="0" w:color="auto"/>
              <w:right w:val="single" w:sz="4" w:space="0" w:color="auto"/>
            </w:tcBorders>
            <w:shd w:val="clear" w:color="auto" w:fill="FFFFFF" w:themeFill="background1"/>
            <w:vAlign w:val="center"/>
          </w:tcPr>
          <w:p w14:paraId="50788ECB" w14:textId="29C900B0" w:rsidR="00B75C24" w:rsidRPr="00805F51" w:rsidRDefault="00B75C24" w:rsidP="00805F51">
            <w:pPr>
              <w:tabs>
                <w:tab w:val="left" w:pos="567"/>
              </w:tabs>
              <w:ind w:right="317"/>
              <w:jc w:val="right"/>
              <w:rPr>
                <w:rFonts w:eastAsiaTheme="minorHAnsi" w:cs="Arial"/>
              </w:rPr>
            </w:pPr>
            <w:r w:rsidRPr="00805F51">
              <w:rPr>
                <w:rFonts w:eastAsiaTheme="minorHAnsi" w:cs="Arial"/>
              </w:rPr>
              <w:t>2.600</w:t>
            </w:r>
          </w:p>
        </w:tc>
      </w:tr>
      <w:tr w:rsidR="00B75C24" w:rsidRPr="00805F51" w14:paraId="1CF53728" w14:textId="77777777" w:rsidTr="009D6093">
        <w:tc>
          <w:tcPr>
            <w:tcW w:w="3114" w:type="dxa"/>
            <w:tcBorders>
              <w:top w:val="nil"/>
              <w:left w:val="single" w:sz="8" w:space="0" w:color="auto"/>
              <w:bottom w:val="single" w:sz="4" w:space="0" w:color="auto"/>
              <w:right w:val="single" w:sz="4" w:space="0" w:color="auto"/>
            </w:tcBorders>
            <w:shd w:val="clear" w:color="000000" w:fill="FFFFFF"/>
            <w:vAlign w:val="center"/>
          </w:tcPr>
          <w:p w14:paraId="07ADDA22" w14:textId="77777777" w:rsidR="00B75C24" w:rsidRPr="00805F51" w:rsidRDefault="00B75C24" w:rsidP="00805F51">
            <w:pPr>
              <w:tabs>
                <w:tab w:val="left" w:pos="567"/>
              </w:tabs>
              <w:ind w:right="-613"/>
              <w:rPr>
                <w:rFonts w:eastAsiaTheme="minorHAnsi" w:cs="Arial"/>
              </w:rPr>
            </w:pPr>
            <w:r w:rsidRPr="00805F51">
              <w:rPr>
                <w:rFonts w:eastAsiaTheme="minorHAnsi" w:cs="Arial"/>
              </w:rPr>
              <w:t>Street Lighting</w:t>
            </w:r>
          </w:p>
        </w:tc>
        <w:tc>
          <w:tcPr>
            <w:tcW w:w="4252" w:type="dxa"/>
            <w:tcBorders>
              <w:top w:val="nil"/>
              <w:left w:val="single" w:sz="4" w:space="0" w:color="auto"/>
              <w:bottom w:val="single" w:sz="4" w:space="0" w:color="auto"/>
              <w:right w:val="single" w:sz="4" w:space="0" w:color="auto"/>
            </w:tcBorders>
            <w:shd w:val="clear" w:color="auto" w:fill="FFFFFF" w:themeFill="background1"/>
            <w:vAlign w:val="center"/>
          </w:tcPr>
          <w:p w14:paraId="339602C6" w14:textId="1F2C2A58" w:rsidR="00B75C24" w:rsidRPr="00805F51" w:rsidRDefault="00B75C24" w:rsidP="00805F51">
            <w:pPr>
              <w:tabs>
                <w:tab w:val="left" w:pos="567"/>
              </w:tabs>
              <w:ind w:right="317"/>
              <w:jc w:val="right"/>
              <w:rPr>
                <w:rFonts w:eastAsiaTheme="minorHAnsi" w:cs="Arial"/>
              </w:rPr>
            </w:pPr>
            <w:r w:rsidRPr="00805F51">
              <w:rPr>
                <w:rFonts w:eastAsiaTheme="minorHAnsi" w:cs="Arial"/>
              </w:rPr>
              <w:t>1.000</w:t>
            </w:r>
          </w:p>
        </w:tc>
      </w:tr>
      <w:tr w:rsidR="00B75C24" w:rsidRPr="00805F51" w14:paraId="50E05B21" w14:textId="77777777" w:rsidTr="009D6093">
        <w:tc>
          <w:tcPr>
            <w:tcW w:w="3114" w:type="dxa"/>
            <w:tcBorders>
              <w:top w:val="nil"/>
              <w:left w:val="single" w:sz="8" w:space="0" w:color="auto"/>
              <w:bottom w:val="single" w:sz="4" w:space="0" w:color="auto"/>
              <w:right w:val="single" w:sz="4" w:space="0" w:color="auto"/>
            </w:tcBorders>
            <w:shd w:val="clear" w:color="000000" w:fill="FFFFFF"/>
            <w:vAlign w:val="center"/>
          </w:tcPr>
          <w:p w14:paraId="0651A91D" w14:textId="77777777" w:rsidR="00B75C24" w:rsidRPr="00805F51" w:rsidRDefault="00B75C24" w:rsidP="00805F51">
            <w:pPr>
              <w:tabs>
                <w:tab w:val="left" w:pos="567"/>
              </w:tabs>
              <w:ind w:right="-613"/>
              <w:rPr>
                <w:rFonts w:eastAsiaTheme="minorHAnsi" w:cs="Arial"/>
              </w:rPr>
            </w:pPr>
            <w:r w:rsidRPr="00805F51">
              <w:rPr>
                <w:rFonts w:eastAsiaTheme="minorHAnsi" w:cs="Arial"/>
              </w:rPr>
              <w:t>Bridges</w:t>
            </w:r>
          </w:p>
        </w:tc>
        <w:tc>
          <w:tcPr>
            <w:tcW w:w="4252" w:type="dxa"/>
            <w:tcBorders>
              <w:top w:val="nil"/>
              <w:left w:val="single" w:sz="4" w:space="0" w:color="auto"/>
              <w:bottom w:val="single" w:sz="4" w:space="0" w:color="auto"/>
              <w:right w:val="single" w:sz="4" w:space="0" w:color="auto"/>
            </w:tcBorders>
            <w:shd w:val="clear" w:color="auto" w:fill="FFFFFF" w:themeFill="background1"/>
            <w:vAlign w:val="center"/>
          </w:tcPr>
          <w:p w14:paraId="05D17E21" w14:textId="7C61339A" w:rsidR="00B75C24" w:rsidRPr="00805F51" w:rsidRDefault="00B75C24" w:rsidP="00805F51">
            <w:pPr>
              <w:tabs>
                <w:tab w:val="left" w:pos="567"/>
              </w:tabs>
              <w:ind w:right="317"/>
              <w:jc w:val="right"/>
              <w:rPr>
                <w:rFonts w:eastAsiaTheme="minorHAnsi" w:cs="Arial"/>
              </w:rPr>
            </w:pPr>
            <w:r w:rsidRPr="00805F51">
              <w:rPr>
                <w:rFonts w:eastAsiaTheme="minorHAnsi" w:cs="Arial"/>
              </w:rPr>
              <w:t>3.000</w:t>
            </w:r>
          </w:p>
        </w:tc>
      </w:tr>
      <w:tr w:rsidR="00B75C24" w:rsidRPr="00805F51" w14:paraId="169D00B9" w14:textId="77777777" w:rsidTr="009D6093">
        <w:tc>
          <w:tcPr>
            <w:tcW w:w="3114" w:type="dxa"/>
            <w:tcBorders>
              <w:top w:val="nil"/>
              <w:left w:val="single" w:sz="8" w:space="0" w:color="auto"/>
              <w:bottom w:val="single" w:sz="4" w:space="0" w:color="auto"/>
              <w:right w:val="single" w:sz="4" w:space="0" w:color="auto"/>
            </w:tcBorders>
            <w:shd w:val="clear" w:color="000000" w:fill="FFFFFF"/>
            <w:vAlign w:val="center"/>
          </w:tcPr>
          <w:p w14:paraId="4A14E218" w14:textId="77777777" w:rsidR="00B75C24" w:rsidRPr="00805F51" w:rsidRDefault="00B75C24" w:rsidP="00805F51">
            <w:pPr>
              <w:tabs>
                <w:tab w:val="left" w:pos="567"/>
              </w:tabs>
              <w:ind w:right="-613"/>
              <w:rPr>
                <w:rFonts w:eastAsiaTheme="minorHAnsi" w:cs="Arial"/>
              </w:rPr>
            </w:pPr>
            <w:r w:rsidRPr="00805F51">
              <w:rPr>
                <w:rFonts w:eastAsiaTheme="minorHAnsi" w:cs="Arial"/>
              </w:rPr>
              <w:t>Drainage</w:t>
            </w:r>
          </w:p>
        </w:tc>
        <w:tc>
          <w:tcPr>
            <w:tcW w:w="4252" w:type="dxa"/>
            <w:tcBorders>
              <w:top w:val="nil"/>
              <w:left w:val="single" w:sz="4" w:space="0" w:color="auto"/>
              <w:bottom w:val="single" w:sz="4" w:space="0" w:color="auto"/>
              <w:right w:val="single" w:sz="4" w:space="0" w:color="auto"/>
            </w:tcBorders>
            <w:shd w:val="clear" w:color="auto" w:fill="FFFFFF" w:themeFill="background1"/>
            <w:vAlign w:val="center"/>
          </w:tcPr>
          <w:p w14:paraId="1E329C25" w14:textId="38059FA5" w:rsidR="00B75C24" w:rsidRPr="00805F51" w:rsidRDefault="00B75C24" w:rsidP="00805F51">
            <w:pPr>
              <w:tabs>
                <w:tab w:val="left" w:pos="567"/>
              </w:tabs>
              <w:ind w:right="317"/>
              <w:jc w:val="right"/>
              <w:rPr>
                <w:rFonts w:eastAsiaTheme="minorHAnsi" w:cs="Arial"/>
              </w:rPr>
            </w:pPr>
            <w:r w:rsidRPr="00805F51">
              <w:rPr>
                <w:rFonts w:eastAsiaTheme="minorHAnsi" w:cs="Arial"/>
              </w:rPr>
              <w:t>1.000</w:t>
            </w:r>
          </w:p>
        </w:tc>
      </w:tr>
      <w:tr w:rsidR="00B75C24" w:rsidRPr="00805F51" w14:paraId="42359532" w14:textId="77777777" w:rsidTr="009D6093">
        <w:tc>
          <w:tcPr>
            <w:tcW w:w="3114" w:type="dxa"/>
            <w:tcBorders>
              <w:top w:val="nil"/>
              <w:left w:val="single" w:sz="8" w:space="0" w:color="auto"/>
              <w:bottom w:val="single" w:sz="4" w:space="0" w:color="auto"/>
              <w:right w:val="single" w:sz="4" w:space="0" w:color="auto"/>
            </w:tcBorders>
            <w:shd w:val="clear" w:color="000000" w:fill="FFFFFF"/>
            <w:vAlign w:val="center"/>
          </w:tcPr>
          <w:p w14:paraId="20318569" w14:textId="77777777" w:rsidR="00B75C24" w:rsidRPr="00805F51" w:rsidRDefault="00B75C24" w:rsidP="00805F51">
            <w:pPr>
              <w:tabs>
                <w:tab w:val="left" w:pos="567"/>
              </w:tabs>
              <w:ind w:right="-613"/>
              <w:rPr>
                <w:rFonts w:eastAsiaTheme="minorHAnsi" w:cs="Arial"/>
              </w:rPr>
            </w:pPr>
            <w:r w:rsidRPr="00805F51">
              <w:rPr>
                <w:rFonts w:eastAsiaTheme="minorHAnsi" w:cs="Arial"/>
              </w:rPr>
              <w:t>Structural Defects</w:t>
            </w:r>
          </w:p>
        </w:tc>
        <w:tc>
          <w:tcPr>
            <w:tcW w:w="4252" w:type="dxa"/>
            <w:tcBorders>
              <w:top w:val="nil"/>
              <w:left w:val="single" w:sz="4" w:space="0" w:color="auto"/>
              <w:bottom w:val="single" w:sz="4" w:space="0" w:color="auto"/>
              <w:right w:val="single" w:sz="4" w:space="0" w:color="auto"/>
            </w:tcBorders>
            <w:shd w:val="clear" w:color="auto" w:fill="FFFFFF" w:themeFill="background1"/>
            <w:vAlign w:val="center"/>
          </w:tcPr>
          <w:p w14:paraId="26D7DC92" w14:textId="4ACA4ACB" w:rsidR="00B75C24" w:rsidRPr="00805F51" w:rsidRDefault="00B75C24" w:rsidP="00805F51">
            <w:pPr>
              <w:tabs>
                <w:tab w:val="left" w:pos="567"/>
              </w:tabs>
              <w:ind w:right="317"/>
              <w:jc w:val="right"/>
              <w:rPr>
                <w:rFonts w:eastAsiaTheme="minorHAnsi" w:cs="Arial"/>
              </w:rPr>
            </w:pPr>
            <w:r w:rsidRPr="00805F51">
              <w:rPr>
                <w:rFonts w:eastAsiaTheme="minorHAnsi" w:cs="Arial"/>
              </w:rPr>
              <w:t>1.000</w:t>
            </w:r>
          </w:p>
        </w:tc>
      </w:tr>
      <w:tr w:rsidR="00B75C24" w:rsidRPr="00805F51" w14:paraId="18B25625" w14:textId="77777777" w:rsidTr="009D6093">
        <w:tc>
          <w:tcPr>
            <w:tcW w:w="3114" w:type="dxa"/>
            <w:tcBorders>
              <w:top w:val="nil"/>
              <w:left w:val="single" w:sz="8" w:space="0" w:color="auto"/>
              <w:bottom w:val="single" w:sz="4" w:space="0" w:color="auto"/>
              <w:right w:val="single" w:sz="4" w:space="0" w:color="auto"/>
            </w:tcBorders>
            <w:shd w:val="clear" w:color="000000" w:fill="FFFFFF"/>
            <w:vAlign w:val="center"/>
          </w:tcPr>
          <w:p w14:paraId="1CA975EF" w14:textId="77777777" w:rsidR="00B75C24" w:rsidRPr="00805F51" w:rsidRDefault="00B75C24" w:rsidP="00805F51">
            <w:pPr>
              <w:tabs>
                <w:tab w:val="left" w:pos="567"/>
              </w:tabs>
              <w:ind w:right="-613"/>
              <w:rPr>
                <w:rFonts w:eastAsiaTheme="minorHAnsi" w:cs="Arial"/>
              </w:rPr>
            </w:pPr>
            <w:r w:rsidRPr="00805F51">
              <w:rPr>
                <w:rFonts w:eastAsiaTheme="minorHAnsi" w:cs="Arial"/>
              </w:rPr>
              <w:t>Traffic Signals</w:t>
            </w:r>
          </w:p>
        </w:tc>
        <w:tc>
          <w:tcPr>
            <w:tcW w:w="4252" w:type="dxa"/>
            <w:tcBorders>
              <w:top w:val="nil"/>
              <w:left w:val="single" w:sz="4" w:space="0" w:color="auto"/>
              <w:bottom w:val="single" w:sz="4" w:space="0" w:color="auto"/>
              <w:right w:val="single" w:sz="4" w:space="0" w:color="auto"/>
            </w:tcBorders>
            <w:shd w:val="clear" w:color="auto" w:fill="FFFFFF" w:themeFill="background1"/>
            <w:vAlign w:val="center"/>
          </w:tcPr>
          <w:p w14:paraId="2C1E1257" w14:textId="4DA41D05" w:rsidR="00B75C24" w:rsidRPr="00805F51" w:rsidRDefault="00B75C24" w:rsidP="00805F51">
            <w:pPr>
              <w:tabs>
                <w:tab w:val="left" w:pos="567"/>
              </w:tabs>
              <w:ind w:right="317"/>
              <w:jc w:val="right"/>
              <w:rPr>
                <w:rFonts w:eastAsiaTheme="minorHAnsi" w:cs="Arial"/>
              </w:rPr>
            </w:pPr>
            <w:r w:rsidRPr="00805F51">
              <w:rPr>
                <w:rFonts w:eastAsiaTheme="minorHAnsi" w:cs="Arial"/>
              </w:rPr>
              <w:t>0.100</w:t>
            </w:r>
          </w:p>
        </w:tc>
      </w:tr>
      <w:tr w:rsidR="00B75C24" w:rsidRPr="00805F51" w14:paraId="426AFFC4" w14:textId="77777777" w:rsidTr="009D6093">
        <w:tc>
          <w:tcPr>
            <w:tcW w:w="3114" w:type="dxa"/>
            <w:tcBorders>
              <w:top w:val="nil"/>
              <w:left w:val="single" w:sz="8" w:space="0" w:color="auto"/>
              <w:bottom w:val="single" w:sz="8" w:space="0" w:color="auto"/>
              <w:right w:val="single" w:sz="4" w:space="0" w:color="auto"/>
            </w:tcBorders>
            <w:shd w:val="clear" w:color="000000" w:fill="FFFFFF"/>
            <w:vAlign w:val="center"/>
          </w:tcPr>
          <w:p w14:paraId="0C9F884F" w14:textId="63A71423" w:rsidR="00B75C24" w:rsidRPr="00805F51" w:rsidRDefault="00B75C24" w:rsidP="00805F51">
            <w:pPr>
              <w:tabs>
                <w:tab w:val="left" w:pos="567"/>
              </w:tabs>
              <w:ind w:right="-613"/>
              <w:rPr>
                <w:rFonts w:eastAsiaTheme="minorHAnsi" w:cs="Arial"/>
              </w:rPr>
            </w:pPr>
            <w:r w:rsidRPr="00805F51">
              <w:rPr>
                <w:rFonts w:eastAsiaTheme="minorHAnsi" w:cs="Arial"/>
              </w:rPr>
              <w:t>Geotech\Surveys</w:t>
            </w:r>
          </w:p>
        </w:tc>
        <w:tc>
          <w:tcPr>
            <w:tcW w:w="4252" w:type="dxa"/>
            <w:tcBorders>
              <w:top w:val="nil"/>
              <w:left w:val="single" w:sz="4" w:space="0" w:color="auto"/>
              <w:bottom w:val="single" w:sz="8" w:space="0" w:color="auto"/>
              <w:right w:val="single" w:sz="4" w:space="0" w:color="auto"/>
            </w:tcBorders>
            <w:shd w:val="clear" w:color="auto" w:fill="FFFFFF" w:themeFill="background1"/>
            <w:vAlign w:val="center"/>
          </w:tcPr>
          <w:p w14:paraId="5F3D0162" w14:textId="2BFA2967" w:rsidR="00B75C24" w:rsidRPr="00805F51" w:rsidRDefault="00B75C24" w:rsidP="00805F51">
            <w:pPr>
              <w:tabs>
                <w:tab w:val="left" w:pos="567"/>
              </w:tabs>
              <w:ind w:right="317"/>
              <w:jc w:val="right"/>
              <w:rPr>
                <w:rFonts w:eastAsiaTheme="minorHAnsi" w:cs="Arial"/>
              </w:rPr>
            </w:pPr>
            <w:r w:rsidRPr="00805F51">
              <w:rPr>
                <w:rFonts w:eastAsiaTheme="minorHAnsi" w:cs="Arial"/>
              </w:rPr>
              <w:t>0.064</w:t>
            </w:r>
          </w:p>
        </w:tc>
      </w:tr>
      <w:tr w:rsidR="00B75C24" w:rsidRPr="008925CE" w14:paraId="3C30E858" w14:textId="77777777" w:rsidTr="009D6093">
        <w:trPr>
          <w:trHeight w:val="99"/>
        </w:trPr>
        <w:tc>
          <w:tcPr>
            <w:tcW w:w="3114" w:type="dxa"/>
          </w:tcPr>
          <w:p w14:paraId="1DE2E303" w14:textId="77777777" w:rsidR="00B75C24" w:rsidRPr="008925CE" w:rsidRDefault="00B75C24" w:rsidP="00805F51">
            <w:pPr>
              <w:tabs>
                <w:tab w:val="left" w:pos="567"/>
              </w:tabs>
              <w:ind w:right="-613"/>
              <w:rPr>
                <w:rFonts w:eastAsiaTheme="minorHAnsi" w:cs="Arial"/>
                <w:b/>
              </w:rPr>
            </w:pPr>
            <w:r w:rsidRPr="008925CE">
              <w:rPr>
                <w:rFonts w:eastAsiaTheme="minorHAnsi" w:cs="Arial"/>
                <w:b/>
              </w:rPr>
              <w:t>Total</w:t>
            </w:r>
          </w:p>
        </w:tc>
        <w:tc>
          <w:tcPr>
            <w:tcW w:w="4252" w:type="dxa"/>
            <w:vAlign w:val="center"/>
          </w:tcPr>
          <w:p w14:paraId="242BB7A5" w14:textId="37130D11" w:rsidR="00B75C24" w:rsidRPr="008925CE" w:rsidRDefault="00B75C24" w:rsidP="00805F51">
            <w:pPr>
              <w:tabs>
                <w:tab w:val="left" w:pos="567"/>
              </w:tabs>
              <w:ind w:right="317"/>
              <w:jc w:val="right"/>
              <w:rPr>
                <w:rFonts w:eastAsiaTheme="minorHAnsi" w:cs="Arial"/>
                <w:b/>
              </w:rPr>
            </w:pPr>
            <w:r w:rsidRPr="008925CE">
              <w:rPr>
                <w:rFonts w:eastAsiaTheme="minorHAnsi" w:cs="Arial"/>
                <w:b/>
              </w:rPr>
              <w:t>18.564</w:t>
            </w:r>
          </w:p>
        </w:tc>
      </w:tr>
    </w:tbl>
    <w:p w14:paraId="44609DFF" w14:textId="77777777" w:rsidR="00B75C24" w:rsidRPr="008925CE" w:rsidRDefault="00B75C24" w:rsidP="00B75C24">
      <w:pPr>
        <w:keepNext/>
        <w:tabs>
          <w:tab w:val="left" w:pos="567"/>
        </w:tabs>
        <w:spacing w:after="0"/>
        <w:ind w:right="-613"/>
        <w:rPr>
          <w:rFonts w:cs="Arial"/>
          <w:b/>
        </w:rPr>
      </w:pPr>
      <w:r w:rsidRPr="008925CE">
        <w:rPr>
          <w:rFonts w:cs="Arial"/>
          <w:b/>
        </w:rPr>
        <w:lastRenderedPageBreak/>
        <w:t>Proposed apportionment of the anticipated Local Highways Maintenance Incentive funding</w:t>
      </w:r>
    </w:p>
    <w:p w14:paraId="499A0D7D" w14:textId="77777777" w:rsidR="00B75C24" w:rsidRPr="008925CE" w:rsidRDefault="00B75C24" w:rsidP="00B75C24">
      <w:pPr>
        <w:keepNext/>
        <w:tabs>
          <w:tab w:val="left" w:pos="567"/>
        </w:tabs>
        <w:spacing w:after="0"/>
        <w:ind w:right="-613"/>
        <w:rPr>
          <w:rFonts w:cs="Arial"/>
          <w:b/>
        </w:rPr>
      </w:pPr>
    </w:p>
    <w:p w14:paraId="360443AF" w14:textId="77777777" w:rsidR="00B75C24" w:rsidRDefault="00B75C24" w:rsidP="00B75C24">
      <w:pPr>
        <w:keepNext/>
        <w:tabs>
          <w:tab w:val="left" w:pos="567"/>
        </w:tabs>
        <w:spacing w:after="0"/>
        <w:ind w:right="-613"/>
        <w:rPr>
          <w:rFonts w:cs="Arial"/>
        </w:rPr>
      </w:pPr>
      <w:r w:rsidRPr="008925CE">
        <w:rPr>
          <w:rFonts w:cs="Arial"/>
        </w:rPr>
        <w:t xml:space="preserve">The Asset Management Team is confident that service improvements will ensure that the county council maintains Band 3 status in 2018/19. </w:t>
      </w:r>
      <w:r>
        <w:rPr>
          <w:rFonts w:cs="Arial"/>
        </w:rPr>
        <w:t xml:space="preserve"> </w:t>
      </w:r>
      <w:r w:rsidRPr="008925CE">
        <w:rPr>
          <w:rFonts w:cs="Arial"/>
        </w:rPr>
        <w:t>If so, this will realise an indicative allocation of £3.867 million. Confirmation is expected in spring 2018.</w:t>
      </w:r>
      <w:r>
        <w:rPr>
          <w:rFonts w:cs="Arial"/>
        </w:rPr>
        <w:t xml:space="preserve"> </w:t>
      </w:r>
      <w:r w:rsidRPr="008925CE">
        <w:rPr>
          <w:rFonts w:cs="Arial"/>
        </w:rPr>
        <w:t xml:space="preserve"> Apportionment proposals have been developed for receipt of Band 2 and Band 3 status and are described in Table 2 below.</w:t>
      </w:r>
    </w:p>
    <w:p w14:paraId="5CA57128" w14:textId="77777777" w:rsidR="00B75C24" w:rsidRPr="008925CE" w:rsidRDefault="00B75C24" w:rsidP="00B75C24">
      <w:pPr>
        <w:keepNext/>
        <w:tabs>
          <w:tab w:val="left" w:pos="567"/>
        </w:tabs>
        <w:spacing w:after="0"/>
        <w:ind w:right="-613"/>
        <w:rPr>
          <w:rFonts w:cs="Arial"/>
        </w:rPr>
      </w:pPr>
      <w:r w:rsidRPr="008925CE">
        <w:rPr>
          <w:rFonts w:cs="Arial"/>
        </w:rPr>
        <w:t xml:space="preserve"> </w:t>
      </w:r>
    </w:p>
    <w:p w14:paraId="51F2EA8A" w14:textId="77777777" w:rsidR="00B75C24" w:rsidRDefault="00B75C24" w:rsidP="00B75C24">
      <w:pPr>
        <w:tabs>
          <w:tab w:val="left" w:pos="567"/>
        </w:tabs>
        <w:spacing w:after="0"/>
        <w:ind w:right="-613"/>
        <w:rPr>
          <w:rFonts w:cs="Arial"/>
          <w:b/>
        </w:rPr>
        <w:sectPr w:rsidR="00B75C24" w:rsidSect="009D6093">
          <w:pgSz w:w="11906" w:h="16838"/>
          <w:pgMar w:top="1134" w:right="1440" w:bottom="1134" w:left="1440" w:header="709" w:footer="709" w:gutter="0"/>
          <w:cols w:space="708"/>
          <w:docGrid w:linePitch="360"/>
        </w:sectPr>
      </w:pPr>
    </w:p>
    <w:p w14:paraId="6F1C9642" w14:textId="77777777" w:rsidR="00B75C24" w:rsidRPr="008925CE" w:rsidRDefault="00B75C24" w:rsidP="00B75C24">
      <w:pPr>
        <w:tabs>
          <w:tab w:val="left" w:pos="567"/>
        </w:tabs>
        <w:spacing w:after="0"/>
        <w:ind w:right="-613"/>
        <w:rPr>
          <w:rFonts w:cs="Arial"/>
        </w:rPr>
      </w:pPr>
      <w:r w:rsidRPr="008925CE">
        <w:rPr>
          <w:rFonts w:cs="Arial"/>
          <w:b/>
        </w:rPr>
        <w:lastRenderedPageBreak/>
        <w:t>Table 2</w:t>
      </w:r>
    </w:p>
    <w:p w14:paraId="36BD51EC" w14:textId="77777777" w:rsidR="00B75C24" w:rsidRPr="008925CE" w:rsidRDefault="00B75C24" w:rsidP="00B75C24">
      <w:pPr>
        <w:tabs>
          <w:tab w:val="left" w:pos="567"/>
        </w:tabs>
        <w:spacing w:after="0"/>
        <w:ind w:right="-613"/>
        <w:rPr>
          <w:rFonts w:cs="Arial"/>
          <w:b/>
        </w:rPr>
      </w:pPr>
    </w:p>
    <w:tbl>
      <w:tblPr>
        <w:tblStyle w:val="TableGrid1"/>
        <w:tblW w:w="15168" w:type="dxa"/>
        <w:tblInd w:w="-431" w:type="dxa"/>
        <w:tblLook w:val="04A0" w:firstRow="1" w:lastRow="0" w:firstColumn="1" w:lastColumn="0" w:noHBand="0" w:noVBand="1"/>
      </w:tblPr>
      <w:tblGrid>
        <w:gridCol w:w="1986"/>
        <w:gridCol w:w="2405"/>
        <w:gridCol w:w="1705"/>
        <w:gridCol w:w="1843"/>
        <w:gridCol w:w="7229"/>
      </w:tblGrid>
      <w:tr w:rsidR="00B75C24" w:rsidRPr="008925CE" w14:paraId="4A32AE89" w14:textId="77777777" w:rsidTr="00805F51">
        <w:trPr>
          <w:tblHeader/>
        </w:trPr>
        <w:tc>
          <w:tcPr>
            <w:tcW w:w="1986" w:type="dxa"/>
            <w:shd w:val="clear" w:color="auto" w:fill="D9D9D9" w:themeFill="background1" w:themeFillShade="D9"/>
          </w:tcPr>
          <w:p w14:paraId="17FC8C99" w14:textId="77777777" w:rsidR="00B75C24" w:rsidRPr="008925CE" w:rsidRDefault="00B75C24" w:rsidP="00805F51">
            <w:pPr>
              <w:tabs>
                <w:tab w:val="left" w:pos="567"/>
              </w:tabs>
              <w:spacing w:after="0"/>
              <w:ind w:right="-613"/>
              <w:jc w:val="left"/>
              <w:rPr>
                <w:rFonts w:ascii="Arial" w:hAnsi="Arial" w:cs="Arial"/>
                <w:b/>
              </w:rPr>
            </w:pPr>
            <w:r w:rsidRPr="008925CE">
              <w:rPr>
                <w:rFonts w:ascii="Arial" w:hAnsi="Arial" w:cs="Arial"/>
                <w:b/>
              </w:rPr>
              <w:t>Project Name</w:t>
            </w:r>
          </w:p>
        </w:tc>
        <w:tc>
          <w:tcPr>
            <w:tcW w:w="2405" w:type="dxa"/>
            <w:shd w:val="clear" w:color="auto" w:fill="D9D9D9" w:themeFill="background1" w:themeFillShade="D9"/>
          </w:tcPr>
          <w:p w14:paraId="4EAA9675" w14:textId="77777777" w:rsidR="00B75C24" w:rsidRPr="008925CE" w:rsidRDefault="00B75C24" w:rsidP="00805F51">
            <w:pPr>
              <w:tabs>
                <w:tab w:val="left" w:pos="567"/>
              </w:tabs>
              <w:spacing w:after="0"/>
              <w:ind w:left="-68" w:right="114"/>
              <w:jc w:val="left"/>
              <w:rPr>
                <w:rFonts w:ascii="Arial" w:hAnsi="Arial" w:cs="Arial"/>
                <w:b/>
              </w:rPr>
            </w:pPr>
            <w:r w:rsidRPr="008925CE">
              <w:rPr>
                <w:rFonts w:ascii="Arial" w:hAnsi="Arial" w:cs="Arial"/>
                <w:b/>
              </w:rPr>
              <w:t>Project Description</w:t>
            </w:r>
          </w:p>
        </w:tc>
        <w:tc>
          <w:tcPr>
            <w:tcW w:w="1705" w:type="dxa"/>
            <w:shd w:val="clear" w:color="auto" w:fill="D9D9D9" w:themeFill="background1" w:themeFillShade="D9"/>
            <w:vAlign w:val="center"/>
          </w:tcPr>
          <w:p w14:paraId="70E904F0" w14:textId="77777777" w:rsidR="009D6093" w:rsidRDefault="00B75C24" w:rsidP="009D6093">
            <w:pPr>
              <w:tabs>
                <w:tab w:val="left" w:pos="567"/>
              </w:tabs>
              <w:spacing w:after="0"/>
              <w:ind w:right="34"/>
              <w:jc w:val="left"/>
              <w:rPr>
                <w:rFonts w:ascii="Arial" w:hAnsi="Arial" w:cs="Arial"/>
                <w:b/>
              </w:rPr>
            </w:pPr>
            <w:r w:rsidRPr="008925CE">
              <w:rPr>
                <w:rFonts w:ascii="Arial" w:hAnsi="Arial" w:cs="Arial"/>
                <w:b/>
              </w:rPr>
              <w:t xml:space="preserve">Incentive Fund - Band 3 Proposed programme </w:t>
            </w:r>
          </w:p>
          <w:p w14:paraId="015AEE49" w14:textId="366F5B22" w:rsidR="00B75C24" w:rsidRPr="008925CE" w:rsidRDefault="00B75C24" w:rsidP="009D6093">
            <w:pPr>
              <w:tabs>
                <w:tab w:val="left" w:pos="567"/>
              </w:tabs>
              <w:spacing w:after="0"/>
              <w:ind w:right="175"/>
              <w:jc w:val="right"/>
              <w:rPr>
                <w:rFonts w:ascii="Arial" w:hAnsi="Arial" w:cs="Arial"/>
                <w:b/>
              </w:rPr>
            </w:pPr>
            <w:r w:rsidRPr="008925CE">
              <w:rPr>
                <w:rFonts w:ascii="Arial" w:hAnsi="Arial" w:cs="Arial"/>
                <w:b/>
              </w:rPr>
              <w:t>(£m)</w:t>
            </w:r>
          </w:p>
        </w:tc>
        <w:tc>
          <w:tcPr>
            <w:tcW w:w="1843" w:type="dxa"/>
            <w:shd w:val="clear" w:color="auto" w:fill="D9D9D9" w:themeFill="background1" w:themeFillShade="D9"/>
          </w:tcPr>
          <w:p w14:paraId="6907E936" w14:textId="77777777" w:rsidR="009D6093" w:rsidRDefault="00B75C24" w:rsidP="009D6093">
            <w:pPr>
              <w:tabs>
                <w:tab w:val="left" w:pos="567"/>
              </w:tabs>
              <w:spacing w:after="0"/>
              <w:ind w:left="-28" w:right="34" w:hanging="1"/>
              <w:jc w:val="left"/>
              <w:rPr>
                <w:rFonts w:ascii="Arial" w:hAnsi="Arial" w:cs="Arial"/>
                <w:b/>
              </w:rPr>
            </w:pPr>
            <w:r w:rsidRPr="008925CE">
              <w:rPr>
                <w:rFonts w:ascii="Arial" w:hAnsi="Arial" w:cs="Arial"/>
                <w:b/>
              </w:rPr>
              <w:t>Incentive Fu</w:t>
            </w:r>
            <w:r w:rsidR="00805F51">
              <w:rPr>
                <w:rFonts w:ascii="Arial" w:hAnsi="Arial" w:cs="Arial"/>
                <w:b/>
              </w:rPr>
              <w:t xml:space="preserve">nd - Band 2 Proposed programme </w:t>
            </w:r>
          </w:p>
          <w:p w14:paraId="18740997" w14:textId="6F8AAFDB" w:rsidR="00B75C24" w:rsidRPr="008925CE" w:rsidRDefault="00B75C24" w:rsidP="009D6093">
            <w:pPr>
              <w:tabs>
                <w:tab w:val="left" w:pos="567"/>
              </w:tabs>
              <w:spacing w:after="0"/>
              <w:ind w:left="-28" w:right="175" w:hanging="1"/>
              <w:jc w:val="right"/>
              <w:rPr>
                <w:rFonts w:ascii="Arial" w:hAnsi="Arial" w:cs="Arial"/>
                <w:b/>
              </w:rPr>
            </w:pPr>
            <w:r w:rsidRPr="008925CE">
              <w:rPr>
                <w:rFonts w:ascii="Arial" w:hAnsi="Arial" w:cs="Arial"/>
                <w:b/>
              </w:rPr>
              <w:t>(£m)</w:t>
            </w:r>
          </w:p>
        </w:tc>
        <w:tc>
          <w:tcPr>
            <w:tcW w:w="7229" w:type="dxa"/>
            <w:shd w:val="clear" w:color="auto" w:fill="D9D9D9" w:themeFill="background1" w:themeFillShade="D9"/>
          </w:tcPr>
          <w:p w14:paraId="36A099A2" w14:textId="77777777" w:rsidR="00B75C24" w:rsidRPr="008925CE" w:rsidRDefault="00B75C24" w:rsidP="00805F51">
            <w:pPr>
              <w:tabs>
                <w:tab w:val="left" w:pos="567"/>
              </w:tabs>
              <w:spacing w:after="0"/>
              <w:ind w:right="-613"/>
              <w:rPr>
                <w:rFonts w:ascii="Arial" w:hAnsi="Arial" w:cs="Arial"/>
                <w:b/>
              </w:rPr>
            </w:pPr>
            <w:r w:rsidRPr="008925CE">
              <w:rPr>
                <w:rFonts w:ascii="Arial" w:hAnsi="Arial" w:cs="Arial"/>
                <w:b/>
              </w:rPr>
              <w:t>Justification</w:t>
            </w:r>
          </w:p>
        </w:tc>
      </w:tr>
      <w:tr w:rsidR="00B75C24" w:rsidRPr="008925CE" w14:paraId="1BD8EFC6" w14:textId="77777777" w:rsidTr="00805F51">
        <w:tc>
          <w:tcPr>
            <w:tcW w:w="1986" w:type="dxa"/>
            <w:tcBorders>
              <w:top w:val="single" w:sz="4" w:space="0" w:color="auto"/>
              <w:left w:val="single" w:sz="8" w:space="0" w:color="auto"/>
              <w:bottom w:val="single" w:sz="4" w:space="0" w:color="auto"/>
              <w:right w:val="nil"/>
            </w:tcBorders>
            <w:shd w:val="clear" w:color="000000" w:fill="FFFFFF"/>
          </w:tcPr>
          <w:p w14:paraId="155E954A" w14:textId="77777777" w:rsidR="00B75C24" w:rsidRPr="008925CE" w:rsidRDefault="00B75C24" w:rsidP="00805F51">
            <w:pPr>
              <w:tabs>
                <w:tab w:val="left" w:pos="567"/>
              </w:tabs>
              <w:spacing w:after="0"/>
              <w:jc w:val="left"/>
              <w:rPr>
                <w:rFonts w:ascii="Arial" w:hAnsi="Arial" w:cs="Arial"/>
              </w:rPr>
            </w:pPr>
            <w:r w:rsidRPr="008925CE">
              <w:rPr>
                <w:rFonts w:ascii="Arial" w:hAnsi="Arial" w:cs="Arial"/>
              </w:rPr>
              <w:t xml:space="preserve">TAMP </w:t>
            </w:r>
            <w:r>
              <w:rPr>
                <w:rFonts w:ascii="Arial" w:hAnsi="Arial" w:cs="Arial"/>
              </w:rPr>
              <w:br/>
            </w:r>
            <w:r w:rsidRPr="008925CE">
              <w:rPr>
                <w:rFonts w:ascii="Arial" w:hAnsi="Arial" w:cs="Arial"/>
              </w:rPr>
              <w:t>Priorities</w:t>
            </w:r>
          </w:p>
        </w:tc>
        <w:tc>
          <w:tcPr>
            <w:tcW w:w="2405" w:type="dxa"/>
          </w:tcPr>
          <w:p w14:paraId="6891F15A"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Rural Unclassified - £0.200m</w:t>
            </w:r>
          </w:p>
          <w:p w14:paraId="06CE5B5D" w14:textId="7A4D3165"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Footways -£0.400m</w:t>
            </w:r>
          </w:p>
          <w:p w14:paraId="3593C49F"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Structural Defects -£1.000m</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0EAC655" w14:textId="2426F81D"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1.600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9C751B1" w14:textId="0609333A"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1.600</w:t>
            </w:r>
          </w:p>
        </w:tc>
        <w:tc>
          <w:tcPr>
            <w:tcW w:w="7229" w:type="dxa"/>
          </w:tcPr>
          <w:p w14:paraId="546FF544" w14:textId="28B9DE4A" w:rsidR="00B75C24" w:rsidRPr="008925CE" w:rsidRDefault="00B75C24" w:rsidP="009D6093">
            <w:pPr>
              <w:tabs>
                <w:tab w:val="left" w:pos="567"/>
              </w:tabs>
              <w:spacing w:after="0"/>
              <w:ind w:right="175"/>
              <w:rPr>
                <w:rFonts w:ascii="Arial" w:hAnsi="Arial" w:cs="Arial"/>
              </w:rPr>
            </w:pPr>
            <w:r w:rsidRPr="008925CE">
              <w:rPr>
                <w:rFonts w:ascii="Arial" w:hAnsi="Arial" w:cs="Arial"/>
              </w:rPr>
              <w:t>As the indicative</w:t>
            </w:r>
            <w:r>
              <w:rPr>
                <w:rFonts w:ascii="Arial" w:hAnsi="Arial" w:cs="Arial"/>
              </w:rPr>
              <w:t xml:space="preserve"> DfT Highway Maintenance Block N</w:t>
            </w:r>
            <w:r w:rsidRPr="008925CE">
              <w:rPr>
                <w:rFonts w:ascii="Arial" w:hAnsi="Arial" w:cs="Arial"/>
              </w:rPr>
              <w:t>eeds allocation will not be sufficient to maintain the level of funding recommended by TAMP for each asset type, it is proposed that the shortfall is the first call on the anticipated Incentive funding.</w:t>
            </w:r>
          </w:p>
          <w:p w14:paraId="66210565" w14:textId="77777777" w:rsidR="00B75C24" w:rsidRPr="008925CE" w:rsidRDefault="00B75C24" w:rsidP="009D6093">
            <w:pPr>
              <w:tabs>
                <w:tab w:val="left" w:pos="567"/>
              </w:tabs>
              <w:spacing w:after="0"/>
              <w:ind w:right="113"/>
              <w:rPr>
                <w:rFonts w:ascii="Arial" w:hAnsi="Arial" w:cs="Arial"/>
              </w:rPr>
            </w:pPr>
          </w:p>
        </w:tc>
      </w:tr>
      <w:tr w:rsidR="00B75C24" w:rsidRPr="008925CE" w14:paraId="714F0142" w14:textId="77777777" w:rsidTr="00805F51">
        <w:tc>
          <w:tcPr>
            <w:tcW w:w="1986" w:type="dxa"/>
            <w:tcBorders>
              <w:top w:val="single" w:sz="4" w:space="0" w:color="auto"/>
              <w:left w:val="single" w:sz="8" w:space="0" w:color="auto"/>
              <w:bottom w:val="single" w:sz="4" w:space="0" w:color="auto"/>
              <w:right w:val="nil"/>
            </w:tcBorders>
            <w:shd w:val="clear" w:color="000000" w:fill="FFFFFF"/>
          </w:tcPr>
          <w:p w14:paraId="6C7350F9" w14:textId="77777777" w:rsidR="00B75C24" w:rsidRPr="008925CE" w:rsidRDefault="00B75C24" w:rsidP="00805F51">
            <w:pPr>
              <w:tabs>
                <w:tab w:val="left" w:pos="567"/>
              </w:tabs>
              <w:spacing w:after="0"/>
              <w:jc w:val="left"/>
              <w:rPr>
                <w:rFonts w:ascii="Arial" w:hAnsi="Arial" w:cs="Arial"/>
              </w:rPr>
            </w:pPr>
            <w:r w:rsidRPr="008925CE">
              <w:rPr>
                <w:rFonts w:ascii="Arial" w:hAnsi="Arial" w:cs="Arial"/>
              </w:rPr>
              <w:t>Moss Roads</w:t>
            </w:r>
          </w:p>
        </w:tc>
        <w:tc>
          <w:tcPr>
            <w:tcW w:w="2405" w:type="dxa"/>
          </w:tcPr>
          <w:p w14:paraId="1EF65CB1"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Tackling the deterioration using the most appropriate treatments</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C4EAC11" w14:textId="29FEDE83"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0.200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0A1B" w14:textId="31AB0209"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0</w:t>
            </w:r>
          </w:p>
        </w:tc>
        <w:tc>
          <w:tcPr>
            <w:tcW w:w="7229" w:type="dxa"/>
          </w:tcPr>
          <w:p w14:paraId="318C6016" w14:textId="32415656" w:rsidR="00B75C24" w:rsidRPr="008925CE" w:rsidRDefault="00B75C24" w:rsidP="009D6093">
            <w:pPr>
              <w:tabs>
                <w:tab w:val="left" w:pos="567"/>
              </w:tabs>
              <w:spacing w:after="0"/>
              <w:rPr>
                <w:rFonts w:ascii="Arial" w:hAnsi="Arial" w:cs="Arial"/>
              </w:rPr>
            </w:pPr>
            <w:r w:rsidRPr="008925CE">
              <w:rPr>
                <w:rFonts w:ascii="Arial" w:hAnsi="Arial" w:cs="Arial"/>
              </w:rPr>
              <w:t xml:space="preserve">Due to funding pressures, this asset classification has not been awarded funding since 2013/14 and the condition of this part of the network has further deteriorated. </w:t>
            </w:r>
            <w:r w:rsidR="00805F51">
              <w:rPr>
                <w:rFonts w:ascii="Arial" w:hAnsi="Arial" w:cs="Arial"/>
              </w:rPr>
              <w:t xml:space="preserve"> </w:t>
            </w:r>
            <w:r w:rsidRPr="008925CE">
              <w:rPr>
                <w:rFonts w:ascii="Arial" w:hAnsi="Arial" w:cs="Arial"/>
              </w:rPr>
              <w:t xml:space="preserve">A strategy for Moss Roads is under development including a prioritised hierarchy of need which will determine the proposed 2018/19 programme </w:t>
            </w:r>
          </w:p>
        </w:tc>
      </w:tr>
      <w:tr w:rsidR="00B75C24" w:rsidRPr="008925CE" w14:paraId="0D29747A" w14:textId="77777777" w:rsidTr="00805F51">
        <w:tc>
          <w:tcPr>
            <w:tcW w:w="1986" w:type="dxa"/>
            <w:tcBorders>
              <w:top w:val="nil"/>
              <w:left w:val="single" w:sz="8" w:space="0" w:color="auto"/>
              <w:bottom w:val="single" w:sz="4" w:space="0" w:color="auto"/>
              <w:right w:val="nil"/>
            </w:tcBorders>
            <w:shd w:val="clear" w:color="000000" w:fill="FFFFFF"/>
          </w:tcPr>
          <w:p w14:paraId="7EF035F0" w14:textId="77777777" w:rsidR="00B75C24" w:rsidRPr="008925CE" w:rsidRDefault="00B75C24" w:rsidP="00805F51">
            <w:pPr>
              <w:tabs>
                <w:tab w:val="left" w:pos="567"/>
              </w:tabs>
              <w:spacing w:after="0"/>
              <w:jc w:val="left"/>
              <w:rPr>
                <w:rFonts w:ascii="Arial" w:hAnsi="Arial" w:cs="Arial"/>
              </w:rPr>
            </w:pPr>
            <w:r w:rsidRPr="008925CE">
              <w:rPr>
                <w:rFonts w:ascii="Arial" w:hAnsi="Arial" w:cs="Arial"/>
              </w:rPr>
              <w:t>Risk based condition assessments</w:t>
            </w:r>
          </w:p>
        </w:tc>
        <w:tc>
          <w:tcPr>
            <w:tcW w:w="2405" w:type="dxa"/>
          </w:tcPr>
          <w:p w14:paraId="605226DB"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Bridge assessments (Risk Based approach)</w:t>
            </w:r>
          </w:p>
          <w:p w14:paraId="4AA98456" w14:textId="77777777" w:rsidR="00B75C24" w:rsidRPr="008925CE" w:rsidRDefault="00B75C24" w:rsidP="00805F51">
            <w:pPr>
              <w:tabs>
                <w:tab w:val="left" w:pos="567"/>
              </w:tabs>
              <w:spacing w:after="0"/>
              <w:ind w:left="-68" w:right="114"/>
              <w:jc w:val="left"/>
              <w:rPr>
                <w:rFonts w:ascii="Arial" w:hAnsi="Arial" w:cs="Arial"/>
              </w:rPr>
            </w:pPr>
          </w:p>
          <w:p w14:paraId="6446BCD8"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Lighting Columns (Risk Based approach)</w:t>
            </w:r>
          </w:p>
          <w:p w14:paraId="08C79000" w14:textId="77777777" w:rsidR="00B75C24" w:rsidRPr="008925CE" w:rsidRDefault="00B75C24" w:rsidP="00805F51">
            <w:pPr>
              <w:tabs>
                <w:tab w:val="left" w:pos="567"/>
              </w:tabs>
              <w:spacing w:after="0"/>
              <w:ind w:left="-68" w:right="114"/>
              <w:jc w:val="left"/>
              <w:rPr>
                <w:rFonts w:ascii="Arial" w:hAnsi="Arial" w:cs="Arial"/>
              </w:rPr>
            </w:pPr>
          </w:p>
          <w:p w14:paraId="6AEC0832"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Restraint Barriers</w:t>
            </w:r>
          </w:p>
          <w:p w14:paraId="7C0348D7" w14:textId="77777777" w:rsidR="00B75C24" w:rsidRPr="008925CE" w:rsidRDefault="00B75C24" w:rsidP="00805F51">
            <w:pPr>
              <w:tabs>
                <w:tab w:val="left" w:pos="567"/>
              </w:tabs>
              <w:spacing w:after="0"/>
              <w:ind w:left="-68" w:right="114"/>
              <w:jc w:val="left"/>
              <w:rPr>
                <w:rFonts w:ascii="Arial" w:hAnsi="Arial" w:cs="Arial"/>
              </w:rPr>
            </w:pPr>
          </w:p>
          <w:p w14:paraId="250E68DA" w14:textId="77777777" w:rsidR="00B75C24" w:rsidRPr="008925CE" w:rsidRDefault="00B75C24" w:rsidP="00805F51">
            <w:pPr>
              <w:tabs>
                <w:tab w:val="left" w:pos="567"/>
              </w:tabs>
              <w:spacing w:after="0"/>
              <w:ind w:left="-68" w:right="114"/>
              <w:jc w:val="left"/>
              <w:rPr>
                <w:rFonts w:ascii="Arial" w:hAnsi="Arial" w:cs="Arial"/>
              </w:rPr>
            </w:pPr>
          </w:p>
        </w:tc>
        <w:tc>
          <w:tcPr>
            <w:tcW w:w="1705" w:type="dxa"/>
            <w:tcBorders>
              <w:top w:val="nil"/>
              <w:left w:val="single" w:sz="4" w:space="0" w:color="auto"/>
              <w:bottom w:val="single" w:sz="4" w:space="0" w:color="auto"/>
              <w:right w:val="single" w:sz="4" w:space="0" w:color="auto"/>
            </w:tcBorders>
            <w:shd w:val="clear" w:color="auto" w:fill="auto"/>
          </w:tcPr>
          <w:p w14:paraId="34D939B4" w14:textId="0879E0D3"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0.974</w:t>
            </w:r>
          </w:p>
        </w:tc>
        <w:tc>
          <w:tcPr>
            <w:tcW w:w="1843" w:type="dxa"/>
            <w:tcBorders>
              <w:top w:val="nil"/>
              <w:left w:val="single" w:sz="4" w:space="0" w:color="auto"/>
              <w:bottom w:val="single" w:sz="4" w:space="0" w:color="auto"/>
              <w:right w:val="single" w:sz="4" w:space="0" w:color="auto"/>
            </w:tcBorders>
            <w:shd w:val="clear" w:color="auto" w:fill="FFFFFF" w:themeFill="background1"/>
          </w:tcPr>
          <w:p w14:paraId="0C878550" w14:textId="46B2B20E"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0.064</w:t>
            </w:r>
          </w:p>
        </w:tc>
        <w:tc>
          <w:tcPr>
            <w:tcW w:w="7229" w:type="dxa"/>
          </w:tcPr>
          <w:p w14:paraId="4611F626" w14:textId="5972C25B" w:rsidR="00B75C24" w:rsidRPr="008925CE" w:rsidRDefault="00B75C24" w:rsidP="009D6093">
            <w:pPr>
              <w:tabs>
                <w:tab w:val="left" w:pos="567"/>
              </w:tabs>
              <w:spacing w:after="0"/>
              <w:rPr>
                <w:rFonts w:ascii="Arial" w:hAnsi="Arial" w:cs="Arial"/>
              </w:rPr>
            </w:pPr>
            <w:r w:rsidRPr="008925CE">
              <w:rPr>
                <w:rFonts w:ascii="Arial" w:hAnsi="Arial" w:cs="Arial"/>
              </w:rPr>
              <w:t>The new Code of Practice relating to Well Managed Highway Infrastructure (Oct 16) encourages highway authorities to adopt risk based condition assessments</w:t>
            </w:r>
            <w:r w:rsidR="00805F51">
              <w:rPr>
                <w:rFonts w:ascii="Arial" w:hAnsi="Arial" w:cs="Arial"/>
              </w:rPr>
              <w:t xml:space="preserve">. </w:t>
            </w:r>
            <w:r w:rsidRPr="008925CE">
              <w:rPr>
                <w:rFonts w:ascii="Arial" w:hAnsi="Arial" w:cs="Arial"/>
              </w:rPr>
              <w:t xml:space="preserve"> This approach has been embedded into recently approved Lifecycle Plans.</w:t>
            </w:r>
            <w:r w:rsidR="00805F51">
              <w:rPr>
                <w:rFonts w:ascii="Arial" w:hAnsi="Arial" w:cs="Arial"/>
              </w:rPr>
              <w:t xml:space="preserve"> </w:t>
            </w:r>
            <w:r w:rsidRPr="008925CE">
              <w:rPr>
                <w:rFonts w:ascii="Arial" w:hAnsi="Arial" w:cs="Arial"/>
              </w:rPr>
              <w:t xml:space="preserve"> The recently adopted Structures and Street Lighting Lifecycle Plans indicate two areas where high risks have been identified but are currently not funded, namely bridge and lighting column assessments.</w:t>
            </w:r>
            <w:r w:rsidR="00805F51">
              <w:rPr>
                <w:rFonts w:ascii="Arial" w:hAnsi="Arial" w:cs="Arial"/>
              </w:rPr>
              <w:t xml:space="preserve"> </w:t>
            </w:r>
            <w:r w:rsidRPr="008925CE">
              <w:rPr>
                <w:rFonts w:ascii="Arial" w:hAnsi="Arial" w:cs="Arial"/>
              </w:rPr>
              <w:t xml:space="preserve"> </w:t>
            </w:r>
            <w:r w:rsidRPr="008925CE">
              <w:rPr>
                <w:rFonts w:ascii="Arial" w:hAnsi="Arial" w:cs="Arial"/>
                <w:color w:val="000000" w:themeColor="text1"/>
              </w:rPr>
              <w:t>The DfT has also confirmed that from January 2019 the Self-Assessment will be heavily weighted towards evidence for a risk based approach.</w:t>
            </w:r>
          </w:p>
          <w:p w14:paraId="3A1CF076" w14:textId="77777777" w:rsidR="00B75C24" w:rsidRPr="008925CE" w:rsidRDefault="00B75C24" w:rsidP="009D6093">
            <w:pPr>
              <w:tabs>
                <w:tab w:val="left" w:pos="567"/>
              </w:tabs>
              <w:spacing w:after="0"/>
              <w:rPr>
                <w:rFonts w:ascii="Arial" w:hAnsi="Arial" w:cs="Arial"/>
              </w:rPr>
            </w:pPr>
          </w:p>
          <w:p w14:paraId="0341C4D9" w14:textId="77777777" w:rsidR="00B75C24" w:rsidRPr="008925CE" w:rsidRDefault="00B75C24" w:rsidP="009D6093">
            <w:pPr>
              <w:tabs>
                <w:tab w:val="left" w:pos="567"/>
              </w:tabs>
              <w:spacing w:after="0"/>
              <w:rPr>
                <w:rFonts w:ascii="Arial" w:hAnsi="Arial" w:cs="Arial"/>
              </w:rPr>
            </w:pPr>
            <w:r w:rsidRPr="008925CE">
              <w:rPr>
                <w:rFonts w:ascii="Arial" w:hAnsi="Arial" w:cs="Arial"/>
              </w:rPr>
              <w:t>In addition it has been identified that the county council has not been undertaking any checks on Vehicle Restraint Barriers, which are recommended to be checked every two years.</w:t>
            </w:r>
          </w:p>
        </w:tc>
      </w:tr>
      <w:tr w:rsidR="00B75C24" w:rsidRPr="008925CE" w14:paraId="5D969564" w14:textId="77777777" w:rsidTr="00805F51">
        <w:tc>
          <w:tcPr>
            <w:tcW w:w="1986" w:type="dxa"/>
            <w:tcBorders>
              <w:top w:val="nil"/>
              <w:left w:val="single" w:sz="8" w:space="0" w:color="auto"/>
              <w:bottom w:val="single" w:sz="4" w:space="0" w:color="auto"/>
              <w:right w:val="nil"/>
            </w:tcBorders>
            <w:shd w:val="clear" w:color="000000" w:fill="FFFFFF"/>
          </w:tcPr>
          <w:p w14:paraId="0A663648" w14:textId="229707FC" w:rsidR="00B75C24" w:rsidRPr="008925CE" w:rsidRDefault="00B75C24" w:rsidP="00805F51">
            <w:pPr>
              <w:tabs>
                <w:tab w:val="left" w:pos="567"/>
              </w:tabs>
              <w:spacing w:after="0"/>
              <w:jc w:val="left"/>
              <w:rPr>
                <w:rFonts w:ascii="Arial" w:hAnsi="Arial" w:cs="Arial"/>
              </w:rPr>
            </w:pPr>
            <w:r w:rsidRPr="008925CE">
              <w:rPr>
                <w:rFonts w:ascii="Arial" w:hAnsi="Arial" w:cs="Arial"/>
              </w:rPr>
              <w:lastRenderedPageBreak/>
              <w:t>Advanced Design</w:t>
            </w:r>
          </w:p>
        </w:tc>
        <w:tc>
          <w:tcPr>
            <w:tcW w:w="2405" w:type="dxa"/>
          </w:tcPr>
          <w:p w14:paraId="0E3D16FB"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 xml:space="preserve">To enable pipeline design work to be developed </w:t>
            </w:r>
          </w:p>
        </w:tc>
        <w:tc>
          <w:tcPr>
            <w:tcW w:w="1705" w:type="dxa"/>
            <w:tcBorders>
              <w:top w:val="nil"/>
              <w:left w:val="single" w:sz="4" w:space="0" w:color="auto"/>
              <w:bottom w:val="single" w:sz="4" w:space="0" w:color="auto"/>
              <w:right w:val="single" w:sz="4" w:space="0" w:color="auto"/>
            </w:tcBorders>
            <w:shd w:val="clear" w:color="auto" w:fill="auto"/>
          </w:tcPr>
          <w:p w14:paraId="58A7538E" w14:textId="50658DCA"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0.100</w:t>
            </w:r>
          </w:p>
        </w:tc>
        <w:tc>
          <w:tcPr>
            <w:tcW w:w="1843" w:type="dxa"/>
            <w:tcBorders>
              <w:top w:val="nil"/>
              <w:left w:val="single" w:sz="4" w:space="0" w:color="auto"/>
              <w:bottom w:val="single" w:sz="4" w:space="0" w:color="auto"/>
              <w:right w:val="single" w:sz="4" w:space="0" w:color="auto"/>
            </w:tcBorders>
            <w:shd w:val="clear" w:color="auto" w:fill="FFFFFF" w:themeFill="background1"/>
          </w:tcPr>
          <w:p w14:paraId="263D669F" w14:textId="62FD5BE4"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0.050</w:t>
            </w:r>
          </w:p>
        </w:tc>
        <w:tc>
          <w:tcPr>
            <w:tcW w:w="7229" w:type="dxa"/>
          </w:tcPr>
          <w:p w14:paraId="1C96BB27" w14:textId="77777777" w:rsidR="00B75C24" w:rsidRPr="008925CE" w:rsidRDefault="00B75C24" w:rsidP="00805F51">
            <w:pPr>
              <w:tabs>
                <w:tab w:val="left" w:pos="567"/>
              </w:tabs>
              <w:spacing w:after="0"/>
              <w:rPr>
                <w:rFonts w:ascii="Arial" w:hAnsi="Arial" w:cs="Arial"/>
              </w:rPr>
            </w:pPr>
            <w:r w:rsidRPr="008925CE">
              <w:rPr>
                <w:rFonts w:ascii="Arial" w:hAnsi="Arial" w:cs="Arial"/>
              </w:rPr>
              <w:t xml:space="preserve">This will allow the development of pipeline projects enabling the county council to take advantage of external funding opportunities. </w:t>
            </w:r>
          </w:p>
        </w:tc>
      </w:tr>
      <w:tr w:rsidR="00B75C24" w:rsidRPr="008925CE" w14:paraId="7DEDB8A8" w14:textId="77777777" w:rsidTr="00805F51">
        <w:tc>
          <w:tcPr>
            <w:tcW w:w="1986" w:type="dxa"/>
            <w:vMerge w:val="restart"/>
            <w:tcBorders>
              <w:top w:val="nil"/>
              <w:left w:val="single" w:sz="8" w:space="0" w:color="auto"/>
              <w:right w:val="nil"/>
            </w:tcBorders>
            <w:shd w:val="clear" w:color="000000" w:fill="FFFFFF"/>
          </w:tcPr>
          <w:p w14:paraId="6BD35464" w14:textId="5016582B" w:rsidR="00B75C24" w:rsidRPr="008925CE" w:rsidRDefault="00B75C24" w:rsidP="00805F51">
            <w:pPr>
              <w:tabs>
                <w:tab w:val="left" w:pos="567"/>
              </w:tabs>
              <w:spacing w:after="0"/>
              <w:jc w:val="left"/>
              <w:rPr>
                <w:rFonts w:ascii="Arial" w:hAnsi="Arial" w:cs="Arial"/>
              </w:rPr>
            </w:pPr>
            <w:r w:rsidRPr="008925CE">
              <w:rPr>
                <w:rFonts w:ascii="Arial" w:hAnsi="Arial" w:cs="Arial"/>
              </w:rPr>
              <w:t>Emerging Priorities</w:t>
            </w:r>
          </w:p>
        </w:tc>
        <w:tc>
          <w:tcPr>
            <w:tcW w:w="2405" w:type="dxa"/>
          </w:tcPr>
          <w:p w14:paraId="2559615D" w14:textId="77777777" w:rsidR="00B75C24" w:rsidRPr="00E15826" w:rsidRDefault="00B75C24" w:rsidP="00805F51">
            <w:pPr>
              <w:tabs>
                <w:tab w:val="left" w:pos="567"/>
              </w:tabs>
              <w:spacing w:after="0"/>
              <w:ind w:left="-68" w:right="114"/>
              <w:jc w:val="left"/>
              <w:rPr>
                <w:rFonts w:ascii="Arial" w:hAnsi="Arial" w:cs="Arial"/>
              </w:rPr>
            </w:pPr>
            <w:r w:rsidRPr="00E15826">
              <w:rPr>
                <w:rFonts w:ascii="Arial" w:hAnsi="Arial" w:cs="Arial"/>
              </w:rPr>
              <w:t xml:space="preserve">Salter Fell Road, Ribble Valley  - repair embankment and surfacing </w:t>
            </w:r>
          </w:p>
        </w:tc>
        <w:tc>
          <w:tcPr>
            <w:tcW w:w="1705" w:type="dxa"/>
            <w:tcBorders>
              <w:top w:val="nil"/>
              <w:left w:val="single" w:sz="4" w:space="0" w:color="auto"/>
              <w:right w:val="single" w:sz="4" w:space="0" w:color="auto"/>
            </w:tcBorders>
            <w:shd w:val="clear" w:color="auto" w:fill="auto"/>
          </w:tcPr>
          <w:p w14:paraId="70F8E8F3" w14:textId="2CBB2E0B"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0.250</w:t>
            </w:r>
          </w:p>
        </w:tc>
        <w:tc>
          <w:tcPr>
            <w:tcW w:w="1843" w:type="dxa"/>
            <w:tcBorders>
              <w:top w:val="nil"/>
              <w:left w:val="single" w:sz="4" w:space="0" w:color="auto"/>
              <w:right w:val="single" w:sz="4" w:space="0" w:color="auto"/>
            </w:tcBorders>
            <w:shd w:val="clear" w:color="auto" w:fill="FFFFFF" w:themeFill="background1"/>
          </w:tcPr>
          <w:p w14:paraId="180DAD03" w14:textId="23E22B46"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0.250</w:t>
            </w:r>
          </w:p>
        </w:tc>
        <w:tc>
          <w:tcPr>
            <w:tcW w:w="7229" w:type="dxa"/>
            <w:vMerge w:val="restart"/>
          </w:tcPr>
          <w:p w14:paraId="4D0CC4FB" w14:textId="1518FC40" w:rsidR="00B75C24" w:rsidRPr="008925CE" w:rsidRDefault="00B75C24" w:rsidP="00805F51">
            <w:pPr>
              <w:tabs>
                <w:tab w:val="left" w:pos="567"/>
              </w:tabs>
              <w:spacing w:after="0"/>
              <w:ind w:right="113"/>
              <w:rPr>
                <w:rFonts w:ascii="Arial" w:hAnsi="Arial" w:cs="Arial"/>
              </w:rPr>
            </w:pPr>
            <w:r w:rsidRPr="008925CE">
              <w:rPr>
                <w:rFonts w:ascii="Arial" w:hAnsi="Arial" w:cs="Arial"/>
              </w:rPr>
              <w:t>A number of emerging priority repairs have been ide</w:t>
            </w:r>
            <w:r w:rsidR="00805F51">
              <w:rPr>
                <w:rFonts w:ascii="Arial" w:hAnsi="Arial" w:cs="Arial"/>
              </w:rPr>
              <w:t xml:space="preserve">ntified for funding in 2018/19. </w:t>
            </w:r>
            <w:r w:rsidRPr="008925CE">
              <w:rPr>
                <w:rFonts w:ascii="Arial" w:hAnsi="Arial" w:cs="Arial"/>
              </w:rPr>
              <w:t xml:space="preserve"> Without repair in 2018/19, further deterioration is anticipated which is likely to cause greater network disruption and increase repair costs in the long term.</w:t>
            </w:r>
          </w:p>
        </w:tc>
      </w:tr>
      <w:tr w:rsidR="00B75C24" w:rsidRPr="008925CE" w14:paraId="35DC37F2" w14:textId="77777777" w:rsidTr="00805F51">
        <w:tc>
          <w:tcPr>
            <w:tcW w:w="1986" w:type="dxa"/>
            <w:vMerge/>
            <w:tcBorders>
              <w:left w:val="single" w:sz="8" w:space="0" w:color="auto"/>
              <w:right w:val="nil"/>
            </w:tcBorders>
            <w:shd w:val="clear" w:color="000000" w:fill="FFFFFF"/>
          </w:tcPr>
          <w:p w14:paraId="23D1FF51" w14:textId="77777777" w:rsidR="00B75C24" w:rsidRPr="008925CE" w:rsidRDefault="00B75C24" w:rsidP="00805F51">
            <w:pPr>
              <w:numPr>
                <w:ilvl w:val="0"/>
                <w:numId w:val="34"/>
              </w:numPr>
              <w:tabs>
                <w:tab w:val="left" w:pos="567"/>
              </w:tabs>
              <w:autoSpaceDE/>
              <w:autoSpaceDN/>
              <w:adjustRightInd/>
              <w:spacing w:after="0"/>
              <w:ind w:left="0" w:firstLine="0"/>
              <w:contextualSpacing/>
              <w:jc w:val="left"/>
              <w:rPr>
                <w:rFonts w:ascii="Arial" w:hAnsi="Arial" w:cs="Arial"/>
              </w:rPr>
            </w:pPr>
          </w:p>
        </w:tc>
        <w:tc>
          <w:tcPr>
            <w:tcW w:w="2405" w:type="dxa"/>
          </w:tcPr>
          <w:p w14:paraId="4A3C8AAF"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Burnley Road, Altham, Hyndburn - to address embankment and land slip issues.</w:t>
            </w:r>
          </w:p>
        </w:tc>
        <w:tc>
          <w:tcPr>
            <w:tcW w:w="1705" w:type="dxa"/>
            <w:tcBorders>
              <w:left w:val="single" w:sz="4" w:space="0" w:color="auto"/>
              <w:right w:val="single" w:sz="4" w:space="0" w:color="auto"/>
            </w:tcBorders>
            <w:shd w:val="clear" w:color="auto" w:fill="auto"/>
          </w:tcPr>
          <w:p w14:paraId="0FA147A0" w14:textId="36A2D6A6"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0.100</w:t>
            </w:r>
          </w:p>
        </w:tc>
        <w:tc>
          <w:tcPr>
            <w:tcW w:w="1843" w:type="dxa"/>
            <w:tcBorders>
              <w:left w:val="single" w:sz="4" w:space="0" w:color="auto"/>
              <w:right w:val="single" w:sz="4" w:space="0" w:color="auto"/>
            </w:tcBorders>
            <w:shd w:val="clear" w:color="auto" w:fill="FFFFFF" w:themeFill="background1"/>
          </w:tcPr>
          <w:p w14:paraId="394575C1" w14:textId="20117D51"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0.100</w:t>
            </w:r>
          </w:p>
        </w:tc>
        <w:tc>
          <w:tcPr>
            <w:tcW w:w="7229" w:type="dxa"/>
            <w:vMerge/>
          </w:tcPr>
          <w:p w14:paraId="38C34288" w14:textId="77777777" w:rsidR="00B75C24" w:rsidRPr="008925CE" w:rsidRDefault="00B75C24" w:rsidP="00805F51">
            <w:pPr>
              <w:tabs>
                <w:tab w:val="left" w:pos="567"/>
              </w:tabs>
              <w:spacing w:after="0"/>
              <w:ind w:right="-613"/>
              <w:rPr>
                <w:rFonts w:ascii="Arial" w:hAnsi="Arial" w:cs="Arial"/>
              </w:rPr>
            </w:pPr>
          </w:p>
        </w:tc>
      </w:tr>
      <w:tr w:rsidR="00B75C24" w:rsidRPr="008925CE" w14:paraId="063D70F6" w14:textId="77777777" w:rsidTr="00805F51">
        <w:tc>
          <w:tcPr>
            <w:tcW w:w="1986" w:type="dxa"/>
            <w:vMerge/>
            <w:tcBorders>
              <w:left w:val="single" w:sz="8" w:space="0" w:color="auto"/>
              <w:bottom w:val="single" w:sz="4" w:space="0" w:color="auto"/>
              <w:right w:val="nil"/>
            </w:tcBorders>
            <w:shd w:val="clear" w:color="000000" w:fill="FFFFFF"/>
          </w:tcPr>
          <w:p w14:paraId="5C5AFEE7" w14:textId="77777777" w:rsidR="00B75C24" w:rsidRPr="008925CE" w:rsidRDefault="00B75C24" w:rsidP="00805F51">
            <w:pPr>
              <w:numPr>
                <w:ilvl w:val="0"/>
                <w:numId w:val="34"/>
              </w:numPr>
              <w:tabs>
                <w:tab w:val="left" w:pos="567"/>
              </w:tabs>
              <w:autoSpaceDE/>
              <w:autoSpaceDN/>
              <w:adjustRightInd/>
              <w:spacing w:after="0"/>
              <w:ind w:left="0" w:firstLine="0"/>
              <w:contextualSpacing/>
              <w:jc w:val="left"/>
              <w:rPr>
                <w:rFonts w:ascii="Arial" w:hAnsi="Arial" w:cs="Arial"/>
              </w:rPr>
            </w:pPr>
          </w:p>
        </w:tc>
        <w:tc>
          <w:tcPr>
            <w:tcW w:w="2405" w:type="dxa"/>
          </w:tcPr>
          <w:p w14:paraId="29F1C267" w14:textId="77777777" w:rsidR="00B75C24" w:rsidRPr="008925CE" w:rsidRDefault="00B75C24" w:rsidP="00805F51">
            <w:pPr>
              <w:tabs>
                <w:tab w:val="left" w:pos="567"/>
              </w:tabs>
              <w:spacing w:after="0"/>
              <w:ind w:left="-68" w:right="114"/>
              <w:jc w:val="left"/>
              <w:rPr>
                <w:rFonts w:ascii="Arial" w:hAnsi="Arial" w:cs="Arial"/>
              </w:rPr>
            </w:pPr>
            <w:r w:rsidRPr="00E15826">
              <w:rPr>
                <w:rFonts w:ascii="Arial" w:hAnsi="Arial" w:cs="Arial"/>
              </w:rPr>
              <w:t>King St Culvert,</w:t>
            </w:r>
            <w:r w:rsidRPr="008925CE">
              <w:rPr>
                <w:rFonts w:ascii="Arial" w:hAnsi="Arial" w:cs="Arial"/>
              </w:rPr>
              <w:t xml:space="preserve"> Ribble Valley - a contribution to an approved drainage scheme to enable identified repairs to be progressed</w:t>
            </w:r>
          </w:p>
        </w:tc>
        <w:tc>
          <w:tcPr>
            <w:tcW w:w="1705" w:type="dxa"/>
            <w:tcBorders>
              <w:left w:val="single" w:sz="4" w:space="0" w:color="auto"/>
              <w:bottom w:val="single" w:sz="4" w:space="0" w:color="auto"/>
              <w:right w:val="single" w:sz="4" w:space="0" w:color="auto"/>
            </w:tcBorders>
            <w:shd w:val="clear" w:color="auto" w:fill="auto"/>
          </w:tcPr>
          <w:p w14:paraId="3ABBC521" w14:textId="5A014C30"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0.050</w:t>
            </w:r>
          </w:p>
        </w:tc>
        <w:tc>
          <w:tcPr>
            <w:tcW w:w="1843" w:type="dxa"/>
            <w:tcBorders>
              <w:left w:val="single" w:sz="4" w:space="0" w:color="auto"/>
              <w:bottom w:val="single" w:sz="4" w:space="0" w:color="auto"/>
              <w:right w:val="single" w:sz="4" w:space="0" w:color="auto"/>
            </w:tcBorders>
            <w:shd w:val="clear" w:color="auto" w:fill="FFFFFF" w:themeFill="background1"/>
          </w:tcPr>
          <w:p w14:paraId="5086696A" w14:textId="7ED4BD60"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0.050</w:t>
            </w:r>
          </w:p>
        </w:tc>
        <w:tc>
          <w:tcPr>
            <w:tcW w:w="7229" w:type="dxa"/>
            <w:vMerge/>
            <w:tcBorders>
              <w:bottom w:val="single" w:sz="4" w:space="0" w:color="auto"/>
            </w:tcBorders>
          </w:tcPr>
          <w:p w14:paraId="4F86ECF6" w14:textId="77777777" w:rsidR="00B75C24" w:rsidRPr="008925CE" w:rsidRDefault="00B75C24" w:rsidP="00805F51">
            <w:pPr>
              <w:tabs>
                <w:tab w:val="left" w:pos="567"/>
              </w:tabs>
              <w:spacing w:after="0"/>
              <w:ind w:right="-613"/>
              <w:rPr>
                <w:rFonts w:ascii="Arial" w:hAnsi="Arial" w:cs="Arial"/>
              </w:rPr>
            </w:pPr>
          </w:p>
        </w:tc>
      </w:tr>
      <w:tr w:rsidR="00B75C24" w:rsidRPr="008925CE" w14:paraId="25D28F6E" w14:textId="77777777" w:rsidTr="00805F51">
        <w:trPr>
          <w:trHeight w:val="629"/>
        </w:trPr>
        <w:tc>
          <w:tcPr>
            <w:tcW w:w="1986" w:type="dxa"/>
            <w:tcBorders>
              <w:top w:val="nil"/>
              <w:left w:val="single" w:sz="8" w:space="0" w:color="auto"/>
              <w:bottom w:val="single" w:sz="4" w:space="0" w:color="auto"/>
              <w:right w:val="nil"/>
            </w:tcBorders>
            <w:shd w:val="clear" w:color="000000" w:fill="FFFFFF"/>
          </w:tcPr>
          <w:p w14:paraId="2B6CB9C5" w14:textId="122DC561" w:rsidR="00B75C24" w:rsidRPr="008925CE" w:rsidRDefault="00B75C24" w:rsidP="00805F51">
            <w:pPr>
              <w:tabs>
                <w:tab w:val="left" w:pos="567"/>
              </w:tabs>
              <w:spacing w:after="0"/>
              <w:jc w:val="left"/>
              <w:rPr>
                <w:rFonts w:ascii="Arial" w:hAnsi="Arial" w:cs="Arial"/>
              </w:rPr>
            </w:pPr>
            <w:r w:rsidRPr="008925CE">
              <w:rPr>
                <w:rFonts w:ascii="Arial" w:hAnsi="Arial" w:cs="Arial"/>
              </w:rPr>
              <w:t>Supporting</w:t>
            </w:r>
            <w:r w:rsidR="00805F51">
              <w:rPr>
                <w:rFonts w:ascii="Arial" w:hAnsi="Arial" w:cs="Arial"/>
              </w:rPr>
              <w:t xml:space="preserve"> </w:t>
            </w:r>
            <w:r w:rsidRPr="008925CE">
              <w:rPr>
                <w:rFonts w:ascii="Arial" w:hAnsi="Arial" w:cs="Arial"/>
              </w:rPr>
              <w:t>Winter Service</w:t>
            </w:r>
          </w:p>
        </w:tc>
        <w:tc>
          <w:tcPr>
            <w:tcW w:w="2405" w:type="dxa"/>
          </w:tcPr>
          <w:p w14:paraId="051F7DA2"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Purchase and installation of a weighbridge at Singleton Depot to manage salt and grit stock levels to support the winter service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42352C5" w14:textId="42721A50"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0.055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A2B1BC4" w14:textId="2E685471"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0.055</w:t>
            </w:r>
          </w:p>
        </w:tc>
        <w:tc>
          <w:tcPr>
            <w:tcW w:w="7229" w:type="dxa"/>
            <w:tcBorders>
              <w:top w:val="single" w:sz="4" w:space="0" w:color="auto"/>
              <w:bottom w:val="single" w:sz="4" w:space="0" w:color="auto"/>
            </w:tcBorders>
          </w:tcPr>
          <w:p w14:paraId="62D523FD" w14:textId="7A91E017" w:rsidR="00B75C24" w:rsidRPr="008925CE" w:rsidRDefault="00B75C24" w:rsidP="00805F51">
            <w:pPr>
              <w:tabs>
                <w:tab w:val="left" w:pos="567"/>
              </w:tabs>
              <w:spacing w:after="0"/>
              <w:ind w:right="113"/>
              <w:rPr>
                <w:rFonts w:ascii="Arial" w:hAnsi="Arial" w:cs="Arial"/>
              </w:rPr>
            </w:pPr>
            <w:r w:rsidRPr="008925CE">
              <w:rPr>
                <w:rFonts w:ascii="Arial" w:hAnsi="Arial" w:cs="Arial"/>
              </w:rPr>
              <w:t xml:space="preserve">Managing the salt stock is a key component in delivering an effective and resilient winter service for the highway users of Lancashire, and this can only be done effectively with the use of a weighbridge. </w:t>
            </w:r>
            <w:r w:rsidR="00805F51">
              <w:rPr>
                <w:rFonts w:ascii="Arial" w:hAnsi="Arial" w:cs="Arial"/>
              </w:rPr>
              <w:t xml:space="preserve"> </w:t>
            </w:r>
            <w:r w:rsidRPr="008925CE">
              <w:rPr>
                <w:rFonts w:ascii="Arial" w:hAnsi="Arial" w:cs="Arial"/>
              </w:rPr>
              <w:t xml:space="preserve">The new code of practice for highway maintenance, "Well Managed Highway Infrastructure," recommends that all highway authorities hold an accurate record of how much salt and grit is used on each gritting run, as well as </w:t>
            </w:r>
            <w:r w:rsidRPr="008925CE">
              <w:rPr>
                <w:rFonts w:ascii="Arial" w:hAnsi="Arial" w:cs="Arial"/>
              </w:rPr>
              <w:lastRenderedPageBreak/>
              <w:t>allowing improved stock control allowing restocking to be processed in a timely manner.</w:t>
            </w:r>
          </w:p>
        </w:tc>
      </w:tr>
      <w:tr w:rsidR="00B75C24" w:rsidRPr="008925CE" w14:paraId="0FDAB93B" w14:textId="77777777" w:rsidTr="00805F51">
        <w:trPr>
          <w:trHeight w:val="629"/>
        </w:trPr>
        <w:tc>
          <w:tcPr>
            <w:tcW w:w="1986" w:type="dxa"/>
            <w:tcBorders>
              <w:top w:val="nil"/>
              <w:left w:val="single" w:sz="8" w:space="0" w:color="auto"/>
              <w:bottom w:val="single" w:sz="4" w:space="0" w:color="auto"/>
              <w:right w:val="nil"/>
            </w:tcBorders>
            <w:shd w:val="clear" w:color="000000" w:fill="FFFFFF"/>
          </w:tcPr>
          <w:p w14:paraId="19D545BB" w14:textId="77777777" w:rsidR="00B75C24" w:rsidRPr="008925CE" w:rsidRDefault="00B75C24" w:rsidP="00805F51">
            <w:pPr>
              <w:tabs>
                <w:tab w:val="left" w:pos="567"/>
              </w:tabs>
              <w:spacing w:after="0"/>
              <w:jc w:val="left"/>
              <w:rPr>
                <w:rFonts w:ascii="Arial" w:hAnsi="Arial" w:cs="Arial"/>
              </w:rPr>
            </w:pPr>
            <w:r w:rsidRPr="008925CE">
              <w:rPr>
                <w:rFonts w:ascii="Arial" w:hAnsi="Arial" w:cs="Arial"/>
              </w:rPr>
              <w:lastRenderedPageBreak/>
              <w:t>Derby Street Bridge, Ormskirk</w:t>
            </w:r>
          </w:p>
        </w:tc>
        <w:tc>
          <w:tcPr>
            <w:tcW w:w="2405" w:type="dxa"/>
          </w:tcPr>
          <w:p w14:paraId="25E0D773"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Strengthening work to the bridge, design work will be under taken in 2018-19</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3DB61950" w14:textId="737C43AC"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0.288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F5F74B" w14:textId="013D0869"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0.288</w:t>
            </w:r>
          </w:p>
        </w:tc>
        <w:tc>
          <w:tcPr>
            <w:tcW w:w="7229" w:type="dxa"/>
            <w:tcBorders>
              <w:top w:val="single" w:sz="4" w:space="0" w:color="auto"/>
              <w:bottom w:val="single" w:sz="4" w:space="0" w:color="auto"/>
            </w:tcBorders>
            <w:shd w:val="clear" w:color="auto" w:fill="auto"/>
          </w:tcPr>
          <w:p w14:paraId="301CBAEF" w14:textId="3C166599" w:rsidR="00B75C24" w:rsidRPr="008925CE" w:rsidRDefault="00B75C24" w:rsidP="00805F51">
            <w:pPr>
              <w:tabs>
                <w:tab w:val="left" w:pos="567"/>
              </w:tabs>
              <w:spacing w:after="0"/>
              <w:ind w:right="113"/>
              <w:rPr>
                <w:rFonts w:ascii="Arial" w:hAnsi="Arial" w:cs="Arial"/>
              </w:rPr>
            </w:pPr>
            <w:r w:rsidRPr="008925CE">
              <w:rPr>
                <w:rFonts w:ascii="Arial" w:hAnsi="Arial" w:cs="Arial"/>
              </w:rPr>
              <w:t xml:space="preserve">Derby Street Bridge has been identified as an 'at risk' structure and is currently subject to an 18 tonne weight restriction that will expire in 2020-21. </w:t>
            </w:r>
            <w:r w:rsidR="00805F51">
              <w:rPr>
                <w:rFonts w:ascii="Arial" w:hAnsi="Arial" w:cs="Arial"/>
              </w:rPr>
              <w:t xml:space="preserve"> </w:t>
            </w:r>
            <w:r w:rsidRPr="008925CE">
              <w:rPr>
                <w:rFonts w:ascii="Arial" w:hAnsi="Arial" w:cs="Arial"/>
              </w:rPr>
              <w:t>Failure to address the issues within this timeframe will lead to a lower weight restriction being applied that would affect access for HGV's, buses and emergency service vehicles, causing major transport issues in Ormskirk Town Centre.  In order to ensure repairs are completed within the time frame (including gaining Network Rail permissions) design works need to be started in 2018-19.</w:t>
            </w:r>
          </w:p>
          <w:p w14:paraId="593C2FA0" w14:textId="77777777" w:rsidR="00B75C24" w:rsidRPr="008925CE" w:rsidRDefault="00B75C24" w:rsidP="00805F51">
            <w:pPr>
              <w:tabs>
                <w:tab w:val="left" w:pos="567"/>
              </w:tabs>
              <w:spacing w:after="0"/>
              <w:ind w:right="113"/>
              <w:rPr>
                <w:rFonts w:ascii="Arial" w:hAnsi="Arial" w:cs="Arial"/>
              </w:rPr>
            </w:pPr>
          </w:p>
          <w:p w14:paraId="74FBEDEE" w14:textId="77777777" w:rsidR="00B75C24" w:rsidRPr="008925CE" w:rsidRDefault="00B75C24" w:rsidP="00805F51">
            <w:pPr>
              <w:tabs>
                <w:tab w:val="left" w:pos="567"/>
              </w:tabs>
              <w:spacing w:after="0"/>
              <w:ind w:right="113"/>
              <w:rPr>
                <w:rFonts w:ascii="Arial" w:hAnsi="Arial" w:cs="Arial"/>
              </w:rPr>
            </w:pPr>
            <w:r w:rsidRPr="008925CE">
              <w:rPr>
                <w:rFonts w:ascii="Arial" w:hAnsi="Arial" w:cs="Arial"/>
              </w:rPr>
              <w:t>Although this is primarily a bridge maintenance project, it is also vital to the wider transport network in Ormskirk town centre, pending the outcomes of the proposed Town Centre movement strategy.  It is therefore proposed to fund the project on a 50:50 basis between the Highways and Transport Capital Programmes. The total estimated cost is £2.684 million, resulting in a contribution of £1.342 million from each block.</w:t>
            </w:r>
          </w:p>
          <w:p w14:paraId="7FE3B75F" w14:textId="77777777" w:rsidR="00B75C24" w:rsidRPr="008925CE" w:rsidRDefault="00B75C24" w:rsidP="00805F51">
            <w:pPr>
              <w:tabs>
                <w:tab w:val="left" w:pos="567"/>
              </w:tabs>
              <w:spacing w:after="0"/>
              <w:ind w:right="113"/>
              <w:rPr>
                <w:rFonts w:ascii="Arial" w:hAnsi="Arial" w:cs="Arial"/>
              </w:rPr>
            </w:pPr>
          </w:p>
          <w:p w14:paraId="5DFEB7B6" w14:textId="42446188" w:rsidR="00B75C24" w:rsidRPr="008925CE" w:rsidRDefault="00B75C24" w:rsidP="00805F51">
            <w:pPr>
              <w:tabs>
                <w:tab w:val="left" w:pos="567"/>
              </w:tabs>
              <w:spacing w:after="0"/>
              <w:ind w:right="113"/>
              <w:rPr>
                <w:rFonts w:ascii="Arial" w:hAnsi="Arial" w:cs="Arial"/>
              </w:rPr>
            </w:pPr>
            <w:r w:rsidRPr="008925CE">
              <w:rPr>
                <w:rFonts w:ascii="Arial" w:hAnsi="Arial" w:cs="Arial"/>
              </w:rPr>
              <w:t xml:space="preserve">It is proposed that the highway maintenance contribution is funded from the 2018/19 and 19/20 anticipated Incentive Fund allocations to support the initial planning, design and development stages of the project. </w:t>
            </w:r>
            <w:r w:rsidR="00805F51">
              <w:rPr>
                <w:rFonts w:ascii="Arial" w:hAnsi="Arial" w:cs="Arial"/>
              </w:rPr>
              <w:t xml:space="preserve"> </w:t>
            </w:r>
            <w:r w:rsidRPr="008925CE">
              <w:rPr>
                <w:rFonts w:ascii="Arial" w:hAnsi="Arial" w:cs="Arial"/>
              </w:rPr>
              <w:t>The integrated transport allocation would be a first call on the 2020/21 Integrated Transport allocation. Table 3 sets out the funding proposal and spend profile.</w:t>
            </w:r>
          </w:p>
        </w:tc>
      </w:tr>
      <w:tr w:rsidR="00B75C24" w:rsidRPr="008925CE" w14:paraId="501B7892" w14:textId="77777777" w:rsidTr="00805F51">
        <w:trPr>
          <w:trHeight w:val="629"/>
        </w:trPr>
        <w:tc>
          <w:tcPr>
            <w:tcW w:w="1986" w:type="dxa"/>
            <w:tcBorders>
              <w:top w:val="nil"/>
              <w:left w:val="single" w:sz="8" w:space="0" w:color="auto"/>
              <w:bottom w:val="single" w:sz="4" w:space="0" w:color="auto"/>
              <w:right w:val="nil"/>
            </w:tcBorders>
            <w:shd w:val="clear" w:color="000000" w:fill="FFFFFF"/>
          </w:tcPr>
          <w:p w14:paraId="5500C66D" w14:textId="77777777" w:rsidR="00B75C24" w:rsidRPr="008925CE" w:rsidRDefault="00B75C24" w:rsidP="00805F51">
            <w:pPr>
              <w:tabs>
                <w:tab w:val="left" w:pos="567"/>
              </w:tabs>
              <w:spacing w:after="0"/>
              <w:ind w:right="-613"/>
              <w:jc w:val="left"/>
              <w:rPr>
                <w:rFonts w:ascii="Arial" w:hAnsi="Arial" w:cs="Arial"/>
              </w:rPr>
            </w:pPr>
            <w:r w:rsidRPr="008925CE">
              <w:rPr>
                <w:rFonts w:ascii="Arial" w:hAnsi="Arial" w:cs="Arial"/>
              </w:rPr>
              <w:lastRenderedPageBreak/>
              <w:t>A601(m)</w:t>
            </w:r>
          </w:p>
        </w:tc>
        <w:tc>
          <w:tcPr>
            <w:tcW w:w="2405" w:type="dxa"/>
          </w:tcPr>
          <w:p w14:paraId="19C93411" w14:textId="77777777" w:rsidR="00B75C24" w:rsidRPr="008925CE" w:rsidRDefault="00B75C24" w:rsidP="00805F51">
            <w:pPr>
              <w:tabs>
                <w:tab w:val="left" w:pos="567"/>
              </w:tabs>
              <w:spacing w:after="0"/>
              <w:ind w:left="-68" w:right="114"/>
              <w:jc w:val="left"/>
              <w:rPr>
                <w:rFonts w:ascii="Arial" w:hAnsi="Arial" w:cs="Arial"/>
              </w:rPr>
            </w:pPr>
            <w:r w:rsidRPr="008925CE">
              <w:rPr>
                <w:rFonts w:ascii="Arial" w:hAnsi="Arial" w:cs="Arial"/>
              </w:rPr>
              <w:t>Contribution to Challenge Fund bid (match funding)</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14:paraId="56DF3C4D" w14:textId="1D785F6A" w:rsidR="00B75C24" w:rsidRPr="008925CE" w:rsidRDefault="00B75C24" w:rsidP="00805F51">
            <w:pPr>
              <w:tabs>
                <w:tab w:val="left" w:pos="567"/>
              </w:tabs>
              <w:spacing w:after="0"/>
              <w:ind w:right="175"/>
              <w:jc w:val="right"/>
              <w:rPr>
                <w:rFonts w:ascii="Arial" w:hAnsi="Arial" w:cs="Arial"/>
                <w:bCs/>
              </w:rPr>
            </w:pPr>
            <w:r w:rsidRPr="008925CE">
              <w:rPr>
                <w:rFonts w:ascii="Arial" w:hAnsi="Arial" w:cs="Arial"/>
                <w:bCs/>
              </w:rPr>
              <w:t>0.250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1944CB" w14:textId="2DF132FC" w:rsidR="00B75C24" w:rsidRPr="008925CE" w:rsidRDefault="00B75C24" w:rsidP="00805F51">
            <w:pPr>
              <w:tabs>
                <w:tab w:val="left" w:pos="567"/>
              </w:tabs>
              <w:spacing w:after="0"/>
              <w:ind w:left="-28" w:right="175" w:hanging="1"/>
              <w:jc w:val="right"/>
              <w:rPr>
                <w:rFonts w:ascii="Arial" w:hAnsi="Arial" w:cs="Arial"/>
                <w:bCs/>
              </w:rPr>
            </w:pPr>
            <w:r w:rsidRPr="008925CE">
              <w:rPr>
                <w:rFonts w:ascii="Arial" w:hAnsi="Arial" w:cs="Arial"/>
                <w:bCs/>
              </w:rPr>
              <w:t>0.250</w:t>
            </w:r>
          </w:p>
        </w:tc>
        <w:tc>
          <w:tcPr>
            <w:tcW w:w="7229" w:type="dxa"/>
            <w:tcBorders>
              <w:top w:val="single" w:sz="4" w:space="0" w:color="auto"/>
              <w:bottom w:val="single" w:sz="4" w:space="0" w:color="auto"/>
            </w:tcBorders>
            <w:shd w:val="clear" w:color="auto" w:fill="auto"/>
          </w:tcPr>
          <w:p w14:paraId="5D70EC06" w14:textId="61A1D773" w:rsidR="00B75C24" w:rsidRPr="008925CE" w:rsidRDefault="00B75C24" w:rsidP="00805F51">
            <w:pPr>
              <w:tabs>
                <w:tab w:val="left" w:pos="567"/>
              </w:tabs>
              <w:spacing w:after="0"/>
              <w:ind w:right="113"/>
              <w:rPr>
                <w:rFonts w:ascii="Arial" w:hAnsi="Arial" w:cs="Arial"/>
              </w:rPr>
            </w:pPr>
            <w:r w:rsidRPr="008925CE">
              <w:rPr>
                <w:rFonts w:ascii="Arial" w:hAnsi="Arial" w:cs="Arial"/>
              </w:rPr>
              <w:t>A pipeline project is currently being developed with a view to submitting it to the DfT for funding through the Challenge Fund bid process (deadlines and timeframe not yet known).  This funding process requires match funding, which cannot be wholly accommodated by the Bridges Programme.</w:t>
            </w:r>
            <w:r w:rsidR="00805F51">
              <w:rPr>
                <w:rFonts w:ascii="Arial" w:hAnsi="Arial" w:cs="Arial"/>
              </w:rPr>
              <w:t xml:space="preserve"> </w:t>
            </w:r>
            <w:r w:rsidRPr="008925CE">
              <w:rPr>
                <w:rFonts w:ascii="Arial" w:hAnsi="Arial" w:cs="Arial"/>
              </w:rPr>
              <w:t xml:space="preserve"> It is therefore proposed that the shortfall of £250k is funded from 2018-19 Incentive fund to be phased as follows (2018/19 - £160k, 2019/20 - £25k and 2020/21 - £65,000) and described in Table 3 below.</w:t>
            </w:r>
          </w:p>
        </w:tc>
      </w:tr>
      <w:tr w:rsidR="00B75C24" w:rsidRPr="008925CE" w14:paraId="43E76BF0" w14:textId="77777777" w:rsidTr="00805F51">
        <w:tc>
          <w:tcPr>
            <w:tcW w:w="4391" w:type="dxa"/>
            <w:gridSpan w:val="2"/>
            <w:tcBorders>
              <w:top w:val="single" w:sz="4" w:space="0" w:color="auto"/>
              <w:left w:val="single" w:sz="4" w:space="0" w:color="auto"/>
              <w:bottom w:val="single" w:sz="4" w:space="0" w:color="auto"/>
            </w:tcBorders>
            <w:shd w:val="clear" w:color="000000" w:fill="FFFFFF"/>
          </w:tcPr>
          <w:p w14:paraId="48ED6370" w14:textId="77777777" w:rsidR="00B75C24" w:rsidRPr="008925CE" w:rsidRDefault="00B75C24" w:rsidP="00805F51">
            <w:pPr>
              <w:tabs>
                <w:tab w:val="left" w:pos="567"/>
              </w:tabs>
              <w:spacing w:after="0"/>
              <w:ind w:left="-68" w:right="114"/>
              <w:jc w:val="left"/>
              <w:rPr>
                <w:rFonts w:ascii="Arial" w:hAnsi="Arial" w:cs="Arial"/>
                <w:b/>
              </w:rPr>
            </w:pPr>
            <w:r w:rsidRPr="008925CE">
              <w:rPr>
                <w:rFonts w:ascii="Arial" w:hAnsi="Arial" w:cs="Arial"/>
                <w:b/>
              </w:rPr>
              <w:t>Total</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60C96D4" w14:textId="193DCBD9" w:rsidR="00B75C24" w:rsidRPr="008925CE" w:rsidRDefault="00B75C24" w:rsidP="009D6093">
            <w:pPr>
              <w:tabs>
                <w:tab w:val="left" w:pos="567"/>
              </w:tabs>
              <w:spacing w:after="0"/>
              <w:ind w:right="175"/>
              <w:jc w:val="right"/>
              <w:rPr>
                <w:rFonts w:ascii="Arial" w:hAnsi="Arial" w:cs="Arial"/>
                <w:b/>
                <w:bCs/>
              </w:rPr>
            </w:pPr>
            <w:r w:rsidRPr="008925CE">
              <w:rPr>
                <w:rFonts w:ascii="Arial" w:hAnsi="Arial" w:cs="Arial"/>
                <w:b/>
                <w:bCs/>
              </w:rPr>
              <w:t>3.867</w:t>
            </w:r>
          </w:p>
        </w:tc>
        <w:tc>
          <w:tcPr>
            <w:tcW w:w="1843" w:type="dxa"/>
            <w:tcBorders>
              <w:top w:val="single" w:sz="4" w:space="0" w:color="auto"/>
              <w:bottom w:val="single" w:sz="4" w:space="0" w:color="auto"/>
            </w:tcBorders>
          </w:tcPr>
          <w:p w14:paraId="3C03265F" w14:textId="72C1FAF0" w:rsidR="00B75C24" w:rsidRPr="008925CE" w:rsidRDefault="00B75C24" w:rsidP="009D6093">
            <w:pPr>
              <w:tabs>
                <w:tab w:val="left" w:pos="567"/>
              </w:tabs>
              <w:spacing w:after="0"/>
              <w:ind w:left="-28" w:right="175" w:hanging="1"/>
              <w:jc w:val="right"/>
              <w:rPr>
                <w:rFonts w:ascii="Arial" w:hAnsi="Arial" w:cs="Arial"/>
                <w:b/>
              </w:rPr>
            </w:pPr>
            <w:r w:rsidRPr="008925CE">
              <w:rPr>
                <w:rFonts w:ascii="Arial" w:hAnsi="Arial" w:cs="Arial"/>
                <w:b/>
              </w:rPr>
              <w:t>2.707</w:t>
            </w:r>
          </w:p>
        </w:tc>
        <w:tc>
          <w:tcPr>
            <w:tcW w:w="7229" w:type="dxa"/>
            <w:tcBorders>
              <w:top w:val="single" w:sz="4" w:space="0" w:color="auto"/>
              <w:bottom w:val="single" w:sz="4" w:space="0" w:color="auto"/>
            </w:tcBorders>
          </w:tcPr>
          <w:p w14:paraId="5FE3DECE" w14:textId="77777777" w:rsidR="00B75C24" w:rsidRPr="008925CE" w:rsidRDefault="00B75C24" w:rsidP="00805F51">
            <w:pPr>
              <w:tabs>
                <w:tab w:val="left" w:pos="567"/>
              </w:tabs>
              <w:spacing w:after="0"/>
              <w:ind w:right="-613"/>
              <w:jc w:val="left"/>
              <w:rPr>
                <w:rFonts w:ascii="Arial" w:hAnsi="Arial" w:cs="Arial"/>
              </w:rPr>
            </w:pPr>
          </w:p>
        </w:tc>
      </w:tr>
    </w:tbl>
    <w:p w14:paraId="2024ADA2" w14:textId="77777777" w:rsidR="00B75C24" w:rsidRPr="008925CE" w:rsidRDefault="00B75C24" w:rsidP="00B75C24">
      <w:pPr>
        <w:tabs>
          <w:tab w:val="left" w:pos="567"/>
        </w:tabs>
        <w:spacing w:after="0"/>
        <w:ind w:right="-613"/>
        <w:rPr>
          <w:rFonts w:cs="Arial"/>
          <w:b/>
        </w:rPr>
      </w:pPr>
    </w:p>
    <w:p w14:paraId="3A25D25B" w14:textId="77777777" w:rsidR="00B75C24" w:rsidRPr="008925CE" w:rsidRDefault="00B75C24" w:rsidP="00B75C24">
      <w:pPr>
        <w:tabs>
          <w:tab w:val="left" w:pos="567"/>
        </w:tabs>
        <w:spacing w:after="0"/>
        <w:ind w:right="-613"/>
        <w:rPr>
          <w:rFonts w:cs="Arial"/>
          <w:b/>
        </w:rPr>
      </w:pPr>
      <w:r w:rsidRPr="008925CE">
        <w:rPr>
          <w:rFonts w:cs="Arial"/>
          <w:b/>
        </w:rPr>
        <w:t>Table 3 - Derby Street Bridge funding proposal and spend profile</w:t>
      </w:r>
    </w:p>
    <w:p w14:paraId="5803B0DE" w14:textId="77777777" w:rsidR="00B75C24" w:rsidRPr="008925CE" w:rsidRDefault="00B75C24" w:rsidP="00B75C24">
      <w:pPr>
        <w:tabs>
          <w:tab w:val="left" w:pos="567"/>
        </w:tabs>
        <w:spacing w:after="0"/>
        <w:ind w:right="-613"/>
        <w:rPr>
          <w:rFonts w:cs="Arial"/>
          <w:b/>
        </w:rPr>
      </w:pPr>
    </w:p>
    <w:tbl>
      <w:tblPr>
        <w:tblStyle w:val="TableGrid1"/>
        <w:tblW w:w="13609" w:type="dxa"/>
        <w:tblInd w:w="-5" w:type="dxa"/>
        <w:tblLook w:val="04A0" w:firstRow="1" w:lastRow="0" w:firstColumn="1" w:lastColumn="0" w:noHBand="0" w:noVBand="1"/>
      </w:tblPr>
      <w:tblGrid>
        <w:gridCol w:w="4957"/>
        <w:gridCol w:w="1847"/>
        <w:gridCol w:w="846"/>
        <w:gridCol w:w="1990"/>
        <w:gridCol w:w="1984"/>
        <w:gridCol w:w="1985"/>
      </w:tblGrid>
      <w:tr w:rsidR="00B75C24" w:rsidRPr="008925CE" w14:paraId="467EEB2D" w14:textId="77777777" w:rsidTr="009D6093">
        <w:trPr>
          <w:tblHeader/>
        </w:trPr>
        <w:tc>
          <w:tcPr>
            <w:tcW w:w="4957" w:type="dxa"/>
          </w:tcPr>
          <w:p w14:paraId="20A51D40" w14:textId="77777777" w:rsidR="00B75C24" w:rsidRPr="008925CE" w:rsidRDefault="00B75C24" w:rsidP="009D6093">
            <w:pPr>
              <w:tabs>
                <w:tab w:val="left" w:pos="567"/>
              </w:tabs>
              <w:spacing w:after="0"/>
              <w:ind w:right="-613"/>
              <w:jc w:val="left"/>
              <w:rPr>
                <w:rFonts w:ascii="Arial" w:hAnsi="Arial" w:cs="Arial"/>
              </w:rPr>
            </w:pPr>
          </w:p>
        </w:tc>
        <w:tc>
          <w:tcPr>
            <w:tcW w:w="1847" w:type="dxa"/>
            <w:shd w:val="clear" w:color="auto" w:fill="D9D9D9" w:themeFill="background1" w:themeFillShade="D9"/>
          </w:tcPr>
          <w:p w14:paraId="3B726B6D" w14:textId="77777777" w:rsidR="009D6093" w:rsidRDefault="00B75C24" w:rsidP="009D6093">
            <w:pPr>
              <w:tabs>
                <w:tab w:val="left" w:pos="567"/>
              </w:tabs>
              <w:spacing w:after="0"/>
              <w:ind w:right="-613"/>
              <w:jc w:val="left"/>
              <w:rPr>
                <w:rFonts w:ascii="Arial" w:hAnsi="Arial" w:cs="Arial"/>
                <w:b/>
              </w:rPr>
            </w:pPr>
            <w:r w:rsidRPr="008925CE">
              <w:rPr>
                <w:rFonts w:ascii="Arial" w:hAnsi="Arial" w:cs="Arial"/>
                <w:b/>
              </w:rPr>
              <w:t>Total Budget Required</w:t>
            </w:r>
          </w:p>
          <w:p w14:paraId="795FE99A" w14:textId="2F901269" w:rsidR="00B75C24" w:rsidRPr="008925CE" w:rsidRDefault="00B75C24" w:rsidP="009D6093">
            <w:pPr>
              <w:tabs>
                <w:tab w:val="left" w:pos="567"/>
              </w:tabs>
              <w:spacing w:after="0"/>
              <w:ind w:right="176"/>
              <w:jc w:val="right"/>
              <w:rPr>
                <w:rFonts w:ascii="Arial" w:hAnsi="Arial" w:cs="Arial"/>
                <w:b/>
              </w:rPr>
            </w:pPr>
            <w:r w:rsidRPr="008925CE">
              <w:rPr>
                <w:rFonts w:ascii="Arial" w:hAnsi="Arial" w:cs="Arial"/>
                <w:b/>
              </w:rPr>
              <w:t xml:space="preserve"> (£m)</w:t>
            </w:r>
          </w:p>
        </w:tc>
        <w:tc>
          <w:tcPr>
            <w:tcW w:w="846" w:type="dxa"/>
            <w:vMerge w:val="restart"/>
            <w:shd w:val="clear" w:color="auto" w:fill="FFFFFF" w:themeFill="background1"/>
          </w:tcPr>
          <w:p w14:paraId="6F91B27A" w14:textId="77777777" w:rsidR="00B75C24" w:rsidRPr="008925CE" w:rsidRDefault="00B75C24" w:rsidP="009D6093">
            <w:pPr>
              <w:tabs>
                <w:tab w:val="left" w:pos="567"/>
              </w:tabs>
              <w:spacing w:after="0"/>
              <w:ind w:right="-613"/>
              <w:jc w:val="left"/>
              <w:rPr>
                <w:rFonts w:ascii="Arial" w:hAnsi="Arial" w:cs="Arial"/>
                <w:b/>
              </w:rPr>
            </w:pPr>
          </w:p>
        </w:tc>
        <w:tc>
          <w:tcPr>
            <w:tcW w:w="1990" w:type="dxa"/>
            <w:shd w:val="clear" w:color="auto" w:fill="D9D9D9" w:themeFill="background1" w:themeFillShade="D9"/>
          </w:tcPr>
          <w:p w14:paraId="451F0981" w14:textId="77777777" w:rsidR="009D6093" w:rsidRDefault="00B75C24" w:rsidP="009D6093">
            <w:pPr>
              <w:tabs>
                <w:tab w:val="left" w:pos="567"/>
              </w:tabs>
              <w:spacing w:after="0"/>
              <w:ind w:right="169"/>
              <w:jc w:val="left"/>
              <w:rPr>
                <w:rFonts w:ascii="Arial" w:hAnsi="Arial" w:cs="Arial"/>
                <w:b/>
              </w:rPr>
            </w:pPr>
            <w:r w:rsidRPr="008925CE">
              <w:rPr>
                <w:rFonts w:ascii="Arial" w:hAnsi="Arial" w:cs="Arial"/>
                <w:b/>
              </w:rPr>
              <w:t xml:space="preserve">Spend Profile 2018-19 </w:t>
            </w:r>
          </w:p>
          <w:p w14:paraId="4378E423" w14:textId="52BC7F04" w:rsidR="00B75C24" w:rsidRPr="008925CE" w:rsidRDefault="00B75C24" w:rsidP="009D6093">
            <w:pPr>
              <w:tabs>
                <w:tab w:val="left" w:pos="567"/>
              </w:tabs>
              <w:spacing w:after="0"/>
              <w:ind w:right="169"/>
              <w:jc w:val="right"/>
              <w:rPr>
                <w:rFonts w:ascii="Arial" w:hAnsi="Arial" w:cs="Arial"/>
                <w:b/>
              </w:rPr>
            </w:pPr>
            <w:r w:rsidRPr="008925CE">
              <w:rPr>
                <w:rFonts w:ascii="Arial" w:hAnsi="Arial" w:cs="Arial"/>
                <w:b/>
              </w:rPr>
              <w:t>(£m)</w:t>
            </w:r>
          </w:p>
        </w:tc>
        <w:tc>
          <w:tcPr>
            <w:tcW w:w="1984" w:type="dxa"/>
            <w:shd w:val="clear" w:color="auto" w:fill="D9D9D9" w:themeFill="background1" w:themeFillShade="D9"/>
          </w:tcPr>
          <w:p w14:paraId="24619E89" w14:textId="77777777" w:rsidR="009D6093" w:rsidRDefault="00B75C24" w:rsidP="009D6093">
            <w:pPr>
              <w:tabs>
                <w:tab w:val="left" w:pos="567"/>
              </w:tabs>
              <w:spacing w:after="0"/>
              <w:ind w:right="169"/>
              <w:jc w:val="left"/>
              <w:rPr>
                <w:rFonts w:ascii="Arial" w:hAnsi="Arial" w:cs="Arial"/>
                <w:b/>
              </w:rPr>
            </w:pPr>
            <w:r w:rsidRPr="008925CE">
              <w:rPr>
                <w:rFonts w:ascii="Arial" w:hAnsi="Arial" w:cs="Arial"/>
                <w:b/>
              </w:rPr>
              <w:t xml:space="preserve">Spend Profile 2019-20 </w:t>
            </w:r>
          </w:p>
          <w:p w14:paraId="0FD4E943" w14:textId="500BBEB1" w:rsidR="00B75C24" w:rsidRPr="008925CE" w:rsidRDefault="00B75C24" w:rsidP="009D6093">
            <w:pPr>
              <w:tabs>
                <w:tab w:val="left" w:pos="567"/>
              </w:tabs>
              <w:spacing w:after="0"/>
              <w:ind w:right="169"/>
              <w:jc w:val="right"/>
              <w:rPr>
                <w:rFonts w:ascii="Arial" w:hAnsi="Arial" w:cs="Arial"/>
                <w:b/>
              </w:rPr>
            </w:pPr>
            <w:r w:rsidRPr="008925CE">
              <w:rPr>
                <w:rFonts w:ascii="Arial" w:hAnsi="Arial" w:cs="Arial"/>
                <w:b/>
              </w:rPr>
              <w:t>(£m)</w:t>
            </w:r>
          </w:p>
        </w:tc>
        <w:tc>
          <w:tcPr>
            <w:tcW w:w="1985" w:type="dxa"/>
            <w:shd w:val="clear" w:color="auto" w:fill="D9D9D9" w:themeFill="background1" w:themeFillShade="D9"/>
          </w:tcPr>
          <w:p w14:paraId="6D9F6CBB" w14:textId="77777777" w:rsidR="009D6093" w:rsidRDefault="00B75C24" w:rsidP="009D6093">
            <w:pPr>
              <w:tabs>
                <w:tab w:val="left" w:pos="567"/>
              </w:tabs>
              <w:spacing w:after="0"/>
              <w:ind w:right="169"/>
              <w:jc w:val="left"/>
              <w:rPr>
                <w:rFonts w:ascii="Arial" w:hAnsi="Arial" w:cs="Arial"/>
                <w:b/>
              </w:rPr>
            </w:pPr>
            <w:r w:rsidRPr="008925CE">
              <w:rPr>
                <w:rFonts w:ascii="Arial" w:hAnsi="Arial" w:cs="Arial"/>
                <w:b/>
              </w:rPr>
              <w:t xml:space="preserve">Spend Profile 2020-21 </w:t>
            </w:r>
          </w:p>
          <w:p w14:paraId="76055AF2" w14:textId="181B395F" w:rsidR="00B75C24" w:rsidRPr="008925CE" w:rsidRDefault="00B75C24" w:rsidP="009D6093">
            <w:pPr>
              <w:tabs>
                <w:tab w:val="left" w:pos="567"/>
              </w:tabs>
              <w:spacing w:after="0"/>
              <w:ind w:right="169"/>
              <w:jc w:val="right"/>
              <w:rPr>
                <w:rFonts w:ascii="Arial" w:hAnsi="Arial" w:cs="Arial"/>
                <w:b/>
              </w:rPr>
            </w:pPr>
            <w:r w:rsidRPr="008925CE">
              <w:rPr>
                <w:rFonts w:ascii="Arial" w:hAnsi="Arial" w:cs="Arial"/>
                <w:b/>
              </w:rPr>
              <w:t>(£m)</w:t>
            </w:r>
          </w:p>
        </w:tc>
      </w:tr>
      <w:tr w:rsidR="00B75C24" w:rsidRPr="008925CE" w14:paraId="2152CB86" w14:textId="77777777" w:rsidTr="009D6093">
        <w:trPr>
          <w:tblHeader/>
        </w:trPr>
        <w:tc>
          <w:tcPr>
            <w:tcW w:w="6804" w:type="dxa"/>
            <w:gridSpan w:val="2"/>
          </w:tcPr>
          <w:p w14:paraId="0E110188" w14:textId="77777777" w:rsidR="00B75C24" w:rsidRPr="008925CE" w:rsidRDefault="00B75C24" w:rsidP="00311130">
            <w:pPr>
              <w:tabs>
                <w:tab w:val="left" w:pos="567"/>
              </w:tabs>
              <w:ind w:right="-613"/>
              <w:jc w:val="left"/>
              <w:rPr>
                <w:rFonts w:ascii="Arial" w:hAnsi="Arial" w:cs="Arial"/>
              </w:rPr>
            </w:pPr>
            <w:r w:rsidRPr="008925CE">
              <w:rPr>
                <w:rFonts w:ascii="Arial" w:hAnsi="Arial" w:cs="Arial"/>
                <w:b/>
              </w:rPr>
              <w:t>Proposed Funding</w:t>
            </w:r>
          </w:p>
        </w:tc>
        <w:tc>
          <w:tcPr>
            <w:tcW w:w="846" w:type="dxa"/>
            <w:vMerge/>
            <w:shd w:val="clear" w:color="auto" w:fill="FFFFFF" w:themeFill="background1"/>
          </w:tcPr>
          <w:p w14:paraId="3D746C43" w14:textId="77777777" w:rsidR="00B75C24" w:rsidRPr="008925CE" w:rsidRDefault="00B75C24" w:rsidP="00311130">
            <w:pPr>
              <w:tabs>
                <w:tab w:val="left" w:pos="567"/>
              </w:tabs>
              <w:ind w:right="-613"/>
              <w:jc w:val="left"/>
              <w:rPr>
                <w:rFonts w:ascii="Arial" w:hAnsi="Arial" w:cs="Arial"/>
              </w:rPr>
            </w:pPr>
          </w:p>
        </w:tc>
        <w:tc>
          <w:tcPr>
            <w:tcW w:w="5959" w:type="dxa"/>
            <w:gridSpan w:val="3"/>
          </w:tcPr>
          <w:p w14:paraId="366A2679" w14:textId="77777777" w:rsidR="00B75C24" w:rsidRPr="008925CE" w:rsidRDefault="00B75C24" w:rsidP="00311130">
            <w:pPr>
              <w:tabs>
                <w:tab w:val="left" w:pos="567"/>
              </w:tabs>
              <w:ind w:right="-613"/>
              <w:jc w:val="left"/>
              <w:rPr>
                <w:rFonts w:ascii="Arial" w:hAnsi="Arial" w:cs="Arial"/>
              </w:rPr>
            </w:pPr>
          </w:p>
        </w:tc>
      </w:tr>
      <w:tr w:rsidR="00B75C24" w:rsidRPr="008925CE" w14:paraId="6669A58A" w14:textId="77777777" w:rsidTr="009D6093">
        <w:trPr>
          <w:tblHeader/>
        </w:trPr>
        <w:tc>
          <w:tcPr>
            <w:tcW w:w="4957" w:type="dxa"/>
          </w:tcPr>
          <w:p w14:paraId="005685D0" w14:textId="77777777" w:rsidR="00B75C24" w:rsidRPr="008925CE" w:rsidRDefault="00B75C24" w:rsidP="00311130">
            <w:pPr>
              <w:tabs>
                <w:tab w:val="left" w:pos="567"/>
              </w:tabs>
              <w:ind w:right="-613"/>
              <w:jc w:val="left"/>
              <w:rPr>
                <w:rFonts w:ascii="Arial" w:hAnsi="Arial" w:cs="Arial"/>
              </w:rPr>
            </w:pPr>
            <w:r w:rsidRPr="008925CE">
              <w:rPr>
                <w:rFonts w:ascii="Arial" w:hAnsi="Arial" w:cs="Arial"/>
              </w:rPr>
              <w:t>2018-19 Incentive Fund</w:t>
            </w:r>
          </w:p>
        </w:tc>
        <w:tc>
          <w:tcPr>
            <w:tcW w:w="1847" w:type="dxa"/>
          </w:tcPr>
          <w:p w14:paraId="12581D89" w14:textId="07C9DED7" w:rsidR="00B75C24" w:rsidRPr="008925CE" w:rsidRDefault="00B75C24" w:rsidP="00311130">
            <w:pPr>
              <w:tabs>
                <w:tab w:val="left" w:pos="567"/>
              </w:tabs>
              <w:ind w:right="175"/>
              <w:jc w:val="right"/>
              <w:rPr>
                <w:rFonts w:ascii="Arial" w:hAnsi="Arial" w:cs="Arial"/>
              </w:rPr>
            </w:pPr>
            <w:r w:rsidRPr="008925CE">
              <w:rPr>
                <w:rFonts w:ascii="Arial" w:hAnsi="Arial" w:cs="Arial"/>
              </w:rPr>
              <w:t>0.288</w:t>
            </w:r>
          </w:p>
        </w:tc>
        <w:tc>
          <w:tcPr>
            <w:tcW w:w="846" w:type="dxa"/>
            <w:vMerge/>
            <w:shd w:val="clear" w:color="auto" w:fill="FFFFFF" w:themeFill="background1"/>
          </w:tcPr>
          <w:p w14:paraId="5971C140" w14:textId="77777777" w:rsidR="00B75C24" w:rsidRPr="008925CE" w:rsidRDefault="00B75C24" w:rsidP="00311130">
            <w:pPr>
              <w:tabs>
                <w:tab w:val="left" w:pos="567"/>
              </w:tabs>
              <w:ind w:right="-613"/>
              <w:jc w:val="left"/>
              <w:rPr>
                <w:rFonts w:ascii="Arial" w:hAnsi="Arial" w:cs="Arial"/>
              </w:rPr>
            </w:pPr>
          </w:p>
        </w:tc>
        <w:tc>
          <w:tcPr>
            <w:tcW w:w="1990" w:type="dxa"/>
          </w:tcPr>
          <w:p w14:paraId="7C0F8A19" w14:textId="15857D3F" w:rsidR="00B75C24" w:rsidRPr="008925CE" w:rsidRDefault="00B75C24" w:rsidP="00311130">
            <w:pPr>
              <w:tabs>
                <w:tab w:val="left" w:pos="567"/>
              </w:tabs>
              <w:ind w:right="169"/>
              <w:jc w:val="right"/>
              <w:rPr>
                <w:rFonts w:ascii="Arial" w:hAnsi="Arial" w:cs="Arial"/>
              </w:rPr>
            </w:pPr>
            <w:r w:rsidRPr="008925CE">
              <w:rPr>
                <w:rFonts w:ascii="Arial" w:hAnsi="Arial" w:cs="Arial"/>
              </w:rPr>
              <w:t>0.126</w:t>
            </w:r>
          </w:p>
        </w:tc>
        <w:tc>
          <w:tcPr>
            <w:tcW w:w="1984" w:type="dxa"/>
          </w:tcPr>
          <w:p w14:paraId="7B31C8EE" w14:textId="74E5F44E" w:rsidR="00B75C24" w:rsidRPr="008925CE" w:rsidRDefault="00B75C24" w:rsidP="00311130">
            <w:pPr>
              <w:tabs>
                <w:tab w:val="left" w:pos="567"/>
              </w:tabs>
              <w:ind w:right="169"/>
              <w:jc w:val="right"/>
              <w:rPr>
                <w:rFonts w:ascii="Arial" w:hAnsi="Arial" w:cs="Arial"/>
              </w:rPr>
            </w:pPr>
            <w:r w:rsidRPr="008925CE">
              <w:rPr>
                <w:rFonts w:ascii="Arial" w:hAnsi="Arial" w:cs="Arial"/>
              </w:rPr>
              <w:t>0.162</w:t>
            </w:r>
          </w:p>
        </w:tc>
        <w:tc>
          <w:tcPr>
            <w:tcW w:w="1985" w:type="dxa"/>
          </w:tcPr>
          <w:p w14:paraId="3FF6495F" w14:textId="77777777" w:rsidR="00B75C24" w:rsidRPr="008925CE" w:rsidRDefault="00B75C24" w:rsidP="00311130">
            <w:pPr>
              <w:tabs>
                <w:tab w:val="left" w:pos="567"/>
              </w:tabs>
              <w:ind w:right="169"/>
              <w:jc w:val="right"/>
              <w:rPr>
                <w:rFonts w:ascii="Arial" w:hAnsi="Arial" w:cs="Arial"/>
              </w:rPr>
            </w:pPr>
          </w:p>
        </w:tc>
      </w:tr>
      <w:tr w:rsidR="00B75C24" w:rsidRPr="008925CE" w14:paraId="58CBB6E7" w14:textId="77777777" w:rsidTr="009D6093">
        <w:trPr>
          <w:tblHeader/>
        </w:trPr>
        <w:tc>
          <w:tcPr>
            <w:tcW w:w="4957" w:type="dxa"/>
          </w:tcPr>
          <w:p w14:paraId="7E008BC6" w14:textId="77777777" w:rsidR="00B75C24" w:rsidRPr="008925CE" w:rsidRDefault="00B75C24" w:rsidP="00311130">
            <w:pPr>
              <w:tabs>
                <w:tab w:val="left" w:pos="567"/>
              </w:tabs>
              <w:ind w:right="-613"/>
              <w:jc w:val="left"/>
              <w:rPr>
                <w:rFonts w:ascii="Arial" w:hAnsi="Arial" w:cs="Arial"/>
              </w:rPr>
            </w:pPr>
            <w:r w:rsidRPr="008925CE">
              <w:rPr>
                <w:rFonts w:ascii="Arial" w:hAnsi="Arial" w:cs="Arial"/>
              </w:rPr>
              <w:t>2019-20 Incentive Fund</w:t>
            </w:r>
          </w:p>
        </w:tc>
        <w:tc>
          <w:tcPr>
            <w:tcW w:w="1847" w:type="dxa"/>
          </w:tcPr>
          <w:p w14:paraId="75FF39AA" w14:textId="66769E04" w:rsidR="00B75C24" w:rsidRPr="008925CE" w:rsidRDefault="00B75C24" w:rsidP="00311130">
            <w:pPr>
              <w:tabs>
                <w:tab w:val="left" w:pos="567"/>
              </w:tabs>
              <w:ind w:right="175"/>
              <w:jc w:val="right"/>
              <w:rPr>
                <w:rFonts w:ascii="Arial" w:hAnsi="Arial" w:cs="Arial"/>
              </w:rPr>
            </w:pPr>
            <w:r w:rsidRPr="008925CE">
              <w:rPr>
                <w:rFonts w:ascii="Arial" w:hAnsi="Arial" w:cs="Arial"/>
              </w:rPr>
              <w:t>1.054</w:t>
            </w:r>
          </w:p>
        </w:tc>
        <w:tc>
          <w:tcPr>
            <w:tcW w:w="846" w:type="dxa"/>
            <w:vMerge/>
            <w:shd w:val="clear" w:color="auto" w:fill="FFFFFF" w:themeFill="background1"/>
          </w:tcPr>
          <w:p w14:paraId="5B543002" w14:textId="77777777" w:rsidR="00B75C24" w:rsidRPr="008925CE" w:rsidRDefault="00B75C24" w:rsidP="00311130">
            <w:pPr>
              <w:tabs>
                <w:tab w:val="left" w:pos="567"/>
              </w:tabs>
              <w:ind w:right="-613"/>
              <w:jc w:val="left"/>
              <w:rPr>
                <w:rFonts w:ascii="Arial" w:hAnsi="Arial" w:cs="Arial"/>
              </w:rPr>
            </w:pPr>
          </w:p>
        </w:tc>
        <w:tc>
          <w:tcPr>
            <w:tcW w:w="1990" w:type="dxa"/>
          </w:tcPr>
          <w:p w14:paraId="47C2A34E" w14:textId="77777777" w:rsidR="00B75C24" w:rsidRPr="008925CE" w:rsidRDefault="00B75C24" w:rsidP="00311130">
            <w:pPr>
              <w:tabs>
                <w:tab w:val="left" w:pos="567"/>
              </w:tabs>
              <w:ind w:right="169"/>
              <w:jc w:val="right"/>
              <w:rPr>
                <w:rFonts w:ascii="Arial" w:hAnsi="Arial" w:cs="Arial"/>
              </w:rPr>
            </w:pPr>
          </w:p>
        </w:tc>
        <w:tc>
          <w:tcPr>
            <w:tcW w:w="1984" w:type="dxa"/>
          </w:tcPr>
          <w:p w14:paraId="10FFB45E" w14:textId="34DA39A4" w:rsidR="00B75C24" w:rsidRPr="008925CE" w:rsidRDefault="00B75C24" w:rsidP="00311130">
            <w:pPr>
              <w:tabs>
                <w:tab w:val="left" w:pos="567"/>
              </w:tabs>
              <w:ind w:right="169"/>
              <w:jc w:val="right"/>
              <w:rPr>
                <w:rFonts w:ascii="Arial" w:hAnsi="Arial" w:cs="Arial"/>
              </w:rPr>
            </w:pPr>
            <w:r w:rsidRPr="008925CE">
              <w:rPr>
                <w:rFonts w:ascii="Arial" w:hAnsi="Arial" w:cs="Arial"/>
              </w:rPr>
              <w:t>0.501</w:t>
            </w:r>
          </w:p>
        </w:tc>
        <w:tc>
          <w:tcPr>
            <w:tcW w:w="1985" w:type="dxa"/>
          </w:tcPr>
          <w:p w14:paraId="3CB72322" w14:textId="25E2507B" w:rsidR="00B75C24" w:rsidRPr="008925CE" w:rsidRDefault="00B75C24" w:rsidP="009D6093">
            <w:pPr>
              <w:tabs>
                <w:tab w:val="left" w:pos="567"/>
              </w:tabs>
              <w:ind w:right="169"/>
              <w:jc w:val="right"/>
              <w:rPr>
                <w:rFonts w:ascii="Arial" w:hAnsi="Arial" w:cs="Arial"/>
              </w:rPr>
            </w:pPr>
            <w:r w:rsidRPr="008925CE">
              <w:rPr>
                <w:rFonts w:ascii="Arial" w:hAnsi="Arial" w:cs="Arial"/>
              </w:rPr>
              <w:t>0.553</w:t>
            </w:r>
          </w:p>
        </w:tc>
      </w:tr>
      <w:tr w:rsidR="00B75C24" w:rsidRPr="008925CE" w14:paraId="18DC1A8F" w14:textId="77777777" w:rsidTr="009D6093">
        <w:trPr>
          <w:tblHeader/>
        </w:trPr>
        <w:tc>
          <w:tcPr>
            <w:tcW w:w="4957" w:type="dxa"/>
          </w:tcPr>
          <w:p w14:paraId="1A3496CF" w14:textId="77777777" w:rsidR="00B75C24" w:rsidRPr="008925CE" w:rsidRDefault="00B75C24" w:rsidP="00311130">
            <w:pPr>
              <w:tabs>
                <w:tab w:val="left" w:pos="567"/>
              </w:tabs>
              <w:ind w:right="-613"/>
              <w:jc w:val="left"/>
              <w:rPr>
                <w:rFonts w:ascii="Arial" w:hAnsi="Arial" w:cs="Arial"/>
              </w:rPr>
            </w:pPr>
            <w:r w:rsidRPr="008925CE">
              <w:rPr>
                <w:rFonts w:ascii="Arial" w:hAnsi="Arial" w:cs="Arial"/>
              </w:rPr>
              <w:t>2020-21 Integrated Transport Fund</w:t>
            </w:r>
          </w:p>
        </w:tc>
        <w:tc>
          <w:tcPr>
            <w:tcW w:w="1847" w:type="dxa"/>
          </w:tcPr>
          <w:p w14:paraId="6E8A4356" w14:textId="6F98FD54" w:rsidR="00B75C24" w:rsidRPr="008925CE" w:rsidRDefault="00B75C24" w:rsidP="00311130">
            <w:pPr>
              <w:tabs>
                <w:tab w:val="left" w:pos="567"/>
              </w:tabs>
              <w:ind w:right="175"/>
              <w:jc w:val="right"/>
              <w:rPr>
                <w:rFonts w:ascii="Arial" w:hAnsi="Arial" w:cs="Arial"/>
              </w:rPr>
            </w:pPr>
            <w:r w:rsidRPr="008925CE">
              <w:rPr>
                <w:rFonts w:ascii="Arial" w:hAnsi="Arial" w:cs="Arial"/>
              </w:rPr>
              <w:t>1.342</w:t>
            </w:r>
          </w:p>
        </w:tc>
        <w:tc>
          <w:tcPr>
            <w:tcW w:w="846" w:type="dxa"/>
            <w:vMerge/>
            <w:shd w:val="clear" w:color="auto" w:fill="FFFFFF" w:themeFill="background1"/>
          </w:tcPr>
          <w:p w14:paraId="494626AA" w14:textId="77777777" w:rsidR="00B75C24" w:rsidRPr="008925CE" w:rsidRDefault="00B75C24" w:rsidP="00311130">
            <w:pPr>
              <w:tabs>
                <w:tab w:val="left" w:pos="567"/>
              </w:tabs>
              <w:ind w:right="-613"/>
              <w:jc w:val="left"/>
              <w:rPr>
                <w:rFonts w:ascii="Arial" w:hAnsi="Arial" w:cs="Arial"/>
              </w:rPr>
            </w:pPr>
          </w:p>
        </w:tc>
        <w:tc>
          <w:tcPr>
            <w:tcW w:w="1990" w:type="dxa"/>
          </w:tcPr>
          <w:p w14:paraId="23461B4E" w14:textId="77777777" w:rsidR="00B75C24" w:rsidRPr="008925CE" w:rsidRDefault="00B75C24" w:rsidP="00311130">
            <w:pPr>
              <w:tabs>
                <w:tab w:val="left" w:pos="567"/>
              </w:tabs>
              <w:ind w:right="169"/>
              <w:jc w:val="right"/>
              <w:rPr>
                <w:rFonts w:ascii="Arial" w:hAnsi="Arial" w:cs="Arial"/>
              </w:rPr>
            </w:pPr>
          </w:p>
        </w:tc>
        <w:tc>
          <w:tcPr>
            <w:tcW w:w="1984" w:type="dxa"/>
          </w:tcPr>
          <w:p w14:paraId="5392471E" w14:textId="77777777" w:rsidR="00B75C24" w:rsidRPr="008925CE" w:rsidRDefault="00B75C24" w:rsidP="00311130">
            <w:pPr>
              <w:tabs>
                <w:tab w:val="left" w:pos="567"/>
              </w:tabs>
              <w:ind w:right="169"/>
              <w:jc w:val="right"/>
              <w:rPr>
                <w:rFonts w:ascii="Arial" w:hAnsi="Arial" w:cs="Arial"/>
              </w:rPr>
            </w:pPr>
          </w:p>
        </w:tc>
        <w:tc>
          <w:tcPr>
            <w:tcW w:w="1985" w:type="dxa"/>
          </w:tcPr>
          <w:p w14:paraId="2DBF2430" w14:textId="76363980" w:rsidR="00B75C24" w:rsidRPr="008925CE" w:rsidRDefault="00B75C24" w:rsidP="00311130">
            <w:pPr>
              <w:tabs>
                <w:tab w:val="left" w:pos="567"/>
              </w:tabs>
              <w:ind w:right="169"/>
              <w:jc w:val="right"/>
              <w:rPr>
                <w:rFonts w:ascii="Arial" w:hAnsi="Arial" w:cs="Arial"/>
              </w:rPr>
            </w:pPr>
            <w:r w:rsidRPr="008925CE">
              <w:rPr>
                <w:rFonts w:ascii="Arial" w:hAnsi="Arial" w:cs="Arial"/>
              </w:rPr>
              <w:t>1.342</w:t>
            </w:r>
          </w:p>
        </w:tc>
      </w:tr>
      <w:tr w:rsidR="00B75C24" w:rsidRPr="008925CE" w14:paraId="5E966947" w14:textId="77777777" w:rsidTr="009D6093">
        <w:trPr>
          <w:tblHeader/>
        </w:trPr>
        <w:tc>
          <w:tcPr>
            <w:tcW w:w="4957" w:type="dxa"/>
          </w:tcPr>
          <w:p w14:paraId="4EF3A09D" w14:textId="77777777" w:rsidR="00B75C24" w:rsidRPr="008925CE" w:rsidRDefault="00B75C24" w:rsidP="00311130">
            <w:pPr>
              <w:tabs>
                <w:tab w:val="left" w:pos="567"/>
              </w:tabs>
              <w:ind w:right="176"/>
              <w:jc w:val="left"/>
              <w:rPr>
                <w:rFonts w:ascii="Arial" w:hAnsi="Arial" w:cs="Arial"/>
                <w:b/>
              </w:rPr>
            </w:pPr>
            <w:r w:rsidRPr="008925CE">
              <w:rPr>
                <w:rFonts w:ascii="Arial" w:hAnsi="Arial" w:cs="Arial"/>
                <w:b/>
              </w:rPr>
              <w:t>Derby Street Bridge Total Project Cost</w:t>
            </w:r>
          </w:p>
        </w:tc>
        <w:tc>
          <w:tcPr>
            <w:tcW w:w="1847" w:type="dxa"/>
          </w:tcPr>
          <w:p w14:paraId="73657781" w14:textId="5B3B85B6" w:rsidR="00B75C24" w:rsidRPr="008925CE" w:rsidRDefault="00B75C24" w:rsidP="00311130">
            <w:pPr>
              <w:tabs>
                <w:tab w:val="left" w:pos="567"/>
              </w:tabs>
              <w:ind w:right="175"/>
              <w:jc w:val="right"/>
              <w:rPr>
                <w:rFonts w:ascii="Arial" w:hAnsi="Arial" w:cs="Arial"/>
                <w:b/>
              </w:rPr>
            </w:pPr>
            <w:r w:rsidRPr="008925CE">
              <w:rPr>
                <w:rFonts w:ascii="Arial" w:hAnsi="Arial" w:cs="Arial"/>
                <w:b/>
              </w:rPr>
              <w:t>2.684</w:t>
            </w:r>
          </w:p>
        </w:tc>
        <w:tc>
          <w:tcPr>
            <w:tcW w:w="846" w:type="dxa"/>
            <w:vMerge/>
            <w:shd w:val="clear" w:color="auto" w:fill="FFFFFF" w:themeFill="background1"/>
          </w:tcPr>
          <w:p w14:paraId="16A69337" w14:textId="77777777" w:rsidR="00B75C24" w:rsidRPr="008925CE" w:rsidRDefault="00B75C24" w:rsidP="00311130">
            <w:pPr>
              <w:tabs>
                <w:tab w:val="left" w:pos="567"/>
              </w:tabs>
              <w:ind w:right="-613"/>
              <w:jc w:val="left"/>
              <w:rPr>
                <w:rFonts w:ascii="Arial" w:hAnsi="Arial" w:cs="Arial"/>
              </w:rPr>
            </w:pPr>
          </w:p>
        </w:tc>
        <w:tc>
          <w:tcPr>
            <w:tcW w:w="1990" w:type="dxa"/>
          </w:tcPr>
          <w:p w14:paraId="0F6A687F" w14:textId="3D22A378" w:rsidR="00B75C24" w:rsidRPr="008925CE" w:rsidRDefault="00B75C24" w:rsidP="00311130">
            <w:pPr>
              <w:tabs>
                <w:tab w:val="left" w:pos="567"/>
              </w:tabs>
              <w:ind w:right="169"/>
              <w:jc w:val="right"/>
              <w:rPr>
                <w:rFonts w:ascii="Arial" w:hAnsi="Arial" w:cs="Arial"/>
                <w:b/>
              </w:rPr>
            </w:pPr>
            <w:r w:rsidRPr="008925CE">
              <w:rPr>
                <w:rFonts w:ascii="Arial" w:hAnsi="Arial" w:cs="Arial"/>
                <w:b/>
              </w:rPr>
              <w:t>0.126</w:t>
            </w:r>
          </w:p>
        </w:tc>
        <w:tc>
          <w:tcPr>
            <w:tcW w:w="1984" w:type="dxa"/>
          </w:tcPr>
          <w:p w14:paraId="00377681" w14:textId="32E2123C" w:rsidR="00B75C24" w:rsidRPr="008925CE" w:rsidRDefault="00B75C24" w:rsidP="00311130">
            <w:pPr>
              <w:tabs>
                <w:tab w:val="left" w:pos="567"/>
              </w:tabs>
              <w:ind w:right="169"/>
              <w:jc w:val="right"/>
              <w:rPr>
                <w:rFonts w:ascii="Arial" w:hAnsi="Arial" w:cs="Arial"/>
                <w:b/>
              </w:rPr>
            </w:pPr>
            <w:r w:rsidRPr="008925CE">
              <w:rPr>
                <w:rFonts w:ascii="Arial" w:hAnsi="Arial" w:cs="Arial"/>
                <w:b/>
              </w:rPr>
              <w:t>0.663</w:t>
            </w:r>
          </w:p>
        </w:tc>
        <w:tc>
          <w:tcPr>
            <w:tcW w:w="1985" w:type="dxa"/>
          </w:tcPr>
          <w:p w14:paraId="6AC9E656" w14:textId="1948D3E5" w:rsidR="00B75C24" w:rsidRPr="008925CE" w:rsidRDefault="00B75C24" w:rsidP="00311130">
            <w:pPr>
              <w:tabs>
                <w:tab w:val="left" w:pos="567"/>
              </w:tabs>
              <w:ind w:right="169"/>
              <w:jc w:val="right"/>
              <w:rPr>
                <w:rFonts w:ascii="Arial" w:hAnsi="Arial" w:cs="Arial"/>
                <w:b/>
              </w:rPr>
            </w:pPr>
            <w:r w:rsidRPr="008925CE">
              <w:rPr>
                <w:rFonts w:ascii="Arial" w:hAnsi="Arial" w:cs="Arial"/>
                <w:b/>
              </w:rPr>
              <w:t>1.895</w:t>
            </w:r>
          </w:p>
        </w:tc>
      </w:tr>
    </w:tbl>
    <w:p w14:paraId="4B51B091" w14:textId="77777777" w:rsidR="00B75C24" w:rsidRPr="008925CE" w:rsidRDefault="00B75C24" w:rsidP="00B75C24">
      <w:pPr>
        <w:tabs>
          <w:tab w:val="left" w:pos="567"/>
        </w:tabs>
        <w:spacing w:after="0"/>
        <w:ind w:right="-613"/>
        <w:rPr>
          <w:rFonts w:cs="Arial"/>
        </w:rPr>
      </w:pPr>
    </w:p>
    <w:p w14:paraId="17EF9A79" w14:textId="77777777" w:rsidR="00B75C24" w:rsidRPr="008925CE" w:rsidRDefault="00B75C24" w:rsidP="00B75C24">
      <w:pPr>
        <w:tabs>
          <w:tab w:val="left" w:pos="567"/>
        </w:tabs>
        <w:spacing w:after="0"/>
        <w:ind w:right="-613"/>
        <w:rPr>
          <w:rFonts w:cs="Arial"/>
          <w:b/>
        </w:rPr>
      </w:pPr>
      <w:r w:rsidRPr="008925CE">
        <w:rPr>
          <w:rFonts w:cs="Arial"/>
          <w:b/>
        </w:rPr>
        <w:t>Cabinet approved budget options</w:t>
      </w:r>
    </w:p>
    <w:p w14:paraId="5E05C7BB" w14:textId="77777777" w:rsidR="00B75C24" w:rsidRPr="008925CE" w:rsidRDefault="00B75C24" w:rsidP="00B75C24">
      <w:pPr>
        <w:tabs>
          <w:tab w:val="left" w:pos="567"/>
        </w:tabs>
        <w:spacing w:after="0"/>
        <w:ind w:right="-613"/>
        <w:rPr>
          <w:rFonts w:cs="Arial"/>
          <w:b/>
        </w:rPr>
      </w:pPr>
    </w:p>
    <w:p w14:paraId="1ECC3E7B" w14:textId="77777777" w:rsidR="00B75C24" w:rsidRPr="008925CE" w:rsidRDefault="00B75C24" w:rsidP="00B75C24">
      <w:pPr>
        <w:tabs>
          <w:tab w:val="left" w:pos="567"/>
        </w:tabs>
        <w:spacing w:after="0"/>
        <w:ind w:right="-613"/>
        <w:rPr>
          <w:rFonts w:cs="Arial"/>
        </w:rPr>
      </w:pPr>
      <w:r w:rsidRPr="008925CE">
        <w:rPr>
          <w:rFonts w:cs="Arial"/>
        </w:rPr>
        <w:t>On the 7</w:t>
      </w:r>
      <w:r w:rsidRPr="008925CE">
        <w:rPr>
          <w:rFonts w:cs="Arial"/>
          <w:vertAlign w:val="superscript"/>
        </w:rPr>
        <w:t>th</w:t>
      </w:r>
      <w:r w:rsidRPr="008925CE">
        <w:rPr>
          <w:rFonts w:cs="Arial"/>
        </w:rPr>
        <w:t xml:space="preserve"> December 2017 Cabinet approved a series of budget options. </w:t>
      </w:r>
      <w:r>
        <w:rPr>
          <w:rFonts w:cs="Arial"/>
        </w:rPr>
        <w:t xml:space="preserve"> </w:t>
      </w:r>
      <w:r w:rsidRPr="008925CE">
        <w:rPr>
          <w:rFonts w:cs="Arial"/>
        </w:rPr>
        <w:t xml:space="preserve">A number of these options included the capitalisation of the following in 2018/19. </w:t>
      </w:r>
      <w:r>
        <w:rPr>
          <w:rFonts w:cs="Arial"/>
        </w:rPr>
        <w:t xml:space="preserve"> </w:t>
      </w:r>
      <w:r w:rsidRPr="008925CE">
        <w:rPr>
          <w:rFonts w:cs="Arial"/>
        </w:rPr>
        <w:t xml:space="preserve">Please note that the Drainage and Street Lighting savings detailed in the Cabinet report are net of the provision </w:t>
      </w:r>
      <w:r w:rsidRPr="008925CE">
        <w:rPr>
          <w:rFonts w:cs="Arial"/>
        </w:rPr>
        <w:lastRenderedPageBreak/>
        <w:t xml:space="preserve">needed to fund borrowing and therefore the figures given below are the gross values of the capital needed. </w:t>
      </w:r>
      <w:r>
        <w:rPr>
          <w:rFonts w:cs="Arial"/>
        </w:rPr>
        <w:t xml:space="preserve"> </w:t>
      </w:r>
      <w:r w:rsidRPr="008925CE">
        <w:rPr>
          <w:rFonts w:cs="Arial"/>
        </w:rPr>
        <w:t>However, the Traffic Signals saving was not reduced by the effect of borrowing, the minimal impact of £10k will be met within the revenue budget.</w:t>
      </w:r>
    </w:p>
    <w:p w14:paraId="1C85BD97" w14:textId="77777777" w:rsidR="00B75C24" w:rsidRPr="008925CE" w:rsidRDefault="00B75C24" w:rsidP="00B75C24">
      <w:pPr>
        <w:tabs>
          <w:tab w:val="left" w:pos="567"/>
        </w:tabs>
        <w:spacing w:after="0"/>
        <w:ind w:right="-613"/>
        <w:rPr>
          <w:rFonts w:cs="Arial"/>
        </w:rPr>
      </w:pPr>
    </w:p>
    <w:p w14:paraId="51C71994" w14:textId="77777777" w:rsidR="00B75C24" w:rsidRDefault="00B75C24" w:rsidP="00B75C24">
      <w:pPr>
        <w:keepNext/>
        <w:tabs>
          <w:tab w:val="left" w:pos="567"/>
        </w:tabs>
        <w:spacing w:after="0"/>
        <w:ind w:right="-613"/>
        <w:rPr>
          <w:rFonts w:cs="Arial"/>
          <w:b/>
        </w:rPr>
      </w:pPr>
      <w:r w:rsidRPr="008925CE">
        <w:rPr>
          <w:rFonts w:cs="Arial"/>
          <w:b/>
        </w:rPr>
        <w:t>Table 4</w:t>
      </w:r>
    </w:p>
    <w:p w14:paraId="0238126D" w14:textId="77777777" w:rsidR="009D6093" w:rsidRPr="008925CE" w:rsidRDefault="009D6093" w:rsidP="00B75C24">
      <w:pPr>
        <w:keepNext/>
        <w:tabs>
          <w:tab w:val="left" w:pos="567"/>
        </w:tabs>
        <w:spacing w:after="0"/>
        <w:ind w:right="-613"/>
        <w:rPr>
          <w:rFonts w:cs="Arial"/>
          <w:b/>
        </w:rPr>
      </w:pPr>
    </w:p>
    <w:tbl>
      <w:tblPr>
        <w:tblStyle w:val="TableGrid1"/>
        <w:tblW w:w="8926" w:type="dxa"/>
        <w:tblLayout w:type="fixed"/>
        <w:tblLook w:val="04A0" w:firstRow="1" w:lastRow="0" w:firstColumn="1" w:lastColumn="0" w:noHBand="0" w:noVBand="1"/>
      </w:tblPr>
      <w:tblGrid>
        <w:gridCol w:w="3397"/>
        <w:gridCol w:w="3828"/>
        <w:gridCol w:w="1701"/>
      </w:tblGrid>
      <w:tr w:rsidR="00B75C24" w:rsidRPr="008925CE" w14:paraId="03B37E35" w14:textId="77777777" w:rsidTr="00311130">
        <w:trPr>
          <w:trHeight w:val="547"/>
          <w:tblHeader/>
        </w:trPr>
        <w:tc>
          <w:tcPr>
            <w:tcW w:w="3397" w:type="dxa"/>
            <w:shd w:val="clear" w:color="auto" w:fill="D9D9D9" w:themeFill="background1" w:themeFillShade="D9"/>
            <w:vAlign w:val="center"/>
          </w:tcPr>
          <w:p w14:paraId="5E2D26CB" w14:textId="77777777" w:rsidR="00B75C24" w:rsidRPr="008925CE" w:rsidRDefault="00B75C24" w:rsidP="009D6093">
            <w:pPr>
              <w:keepNext/>
              <w:tabs>
                <w:tab w:val="left" w:pos="567"/>
              </w:tabs>
              <w:spacing w:after="0"/>
              <w:ind w:right="-613"/>
              <w:rPr>
                <w:rFonts w:ascii="Arial" w:hAnsi="Arial" w:cs="Arial"/>
                <w:b/>
              </w:rPr>
            </w:pPr>
            <w:r w:rsidRPr="008925CE">
              <w:rPr>
                <w:rFonts w:ascii="Arial" w:hAnsi="Arial" w:cs="Arial"/>
                <w:b/>
              </w:rPr>
              <w:t>Programme</w:t>
            </w:r>
          </w:p>
        </w:tc>
        <w:tc>
          <w:tcPr>
            <w:tcW w:w="3828" w:type="dxa"/>
            <w:shd w:val="clear" w:color="auto" w:fill="D9D9D9" w:themeFill="background1" w:themeFillShade="D9"/>
            <w:vAlign w:val="center"/>
          </w:tcPr>
          <w:p w14:paraId="05362665" w14:textId="77777777" w:rsidR="00B75C24" w:rsidRPr="008925CE" w:rsidRDefault="00B75C24" w:rsidP="009D6093">
            <w:pPr>
              <w:keepNext/>
              <w:tabs>
                <w:tab w:val="left" w:pos="567"/>
              </w:tabs>
              <w:spacing w:after="0"/>
              <w:ind w:right="-613"/>
              <w:rPr>
                <w:rFonts w:ascii="Arial" w:hAnsi="Arial" w:cs="Arial"/>
                <w:b/>
              </w:rPr>
            </w:pPr>
            <w:r w:rsidRPr="008925CE">
              <w:rPr>
                <w:rFonts w:ascii="Arial" w:hAnsi="Arial" w:cs="Arial"/>
                <w:b/>
              </w:rPr>
              <w:t>Programme Description</w:t>
            </w:r>
          </w:p>
        </w:tc>
        <w:tc>
          <w:tcPr>
            <w:tcW w:w="1701" w:type="dxa"/>
            <w:shd w:val="clear" w:color="auto" w:fill="D9D9D9" w:themeFill="background1" w:themeFillShade="D9"/>
            <w:vAlign w:val="center"/>
          </w:tcPr>
          <w:p w14:paraId="3C279B04" w14:textId="77777777" w:rsidR="009D6093" w:rsidRDefault="00B75C24" w:rsidP="009D6093">
            <w:pPr>
              <w:keepNext/>
              <w:tabs>
                <w:tab w:val="left" w:pos="567"/>
              </w:tabs>
              <w:spacing w:after="0"/>
              <w:ind w:right="-108"/>
              <w:rPr>
                <w:rFonts w:ascii="Arial" w:hAnsi="Arial" w:cs="Arial"/>
                <w:b/>
              </w:rPr>
            </w:pPr>
            <w:r w:rsidRPr="008925CE">
              <w:rPr>
                <w:rFonts w:ascii="Arial" w:hAnsi="Arial" w:cs="Arial"/>
                <w:b/>
              </w:rPr>
              <w:t>Borrowing Requirement</w:t>
            </w:r>
          </w:p>
          <w:p w14:paraId="096BB2B5" w14:textId="5672C3DE" w:rsidR="00B75C24" w:rsidRPr="008925CE" w:rsidRDefault="00B75C24" w:rsidP="009D6093">
            <w:pPr>
              <w:keepNext/>
              <w:tabs>
                <w:tab w:val="left" w:pos="567"/>
              </w:tabs>
              <w:spacing w:after="0"/>
              <w:ind w:right="176"/>
              <w:jc w:val="right"/>
              <w:rPr>
                <w:rFonts w:ascii="Arial" w:hAnsi="Arial" w:cs="Arial"/>
                <w:b/>
              </w:rPr>
            </w:pPr>
            <w:r w:rsidRPr="008925CE">
              <w:rPr>
                <w:rFonts w:ascii="Arial" w:hAnsi="Arial" w:cs="Arial"/>
                <w:b/>
              </w:rPr>
              <w:t xml:space="preserve"> (£m)</w:t>
            </w:r>
          </w:p>
        </w:tc>
      </w:tr>
      <w:tr w:rsidR="00B75C24" w:rsidRPr="008925CE" w14:paraId="004B38BE" w14:textId="77777777" w:rsidTr="00311130">
        <w:tc>
          <w:tcPr>
            <w:tcW w:w="3397" w:type="dxa"/>
            <w:tcBorders>
              <w:top w:val="single" w:sz="4" w:space="0" w:color="auto"/>
              <w:left w:val="single" w:sz="8" w:space="0" w:color="auto"/>
              <w:bottom w:val="single" w:sz="4" w:space="0" w:color="auto"/>
              <w:right w:val="single" w:sz="4" w:space="0" w:color="auto"/>
            </w:tcBorders>
            <w:shd w:val="clear" w:color="000000" w:fill="FFFFFF"/>
            <w:vAlign w:val="center"/>
          </w:tcPr>
          <w:p w14:paraId="17FD706D" w14:textId="77777777" w:rsidR="00B75C24" w:rsidRPr="008925CE" w:rsidRDefault="00B75C24" w:rsidP="00805F51">
            <w:pPr>
              <w:keepNext/>
              <w:tabs>
                <w:tab w:val="left" w:pos="567"/>
              </w:tabs>
              <w:ind w:right="-613"/>
              <w:rPr>
                <w:rFonts w:ascii="Arial" w:hAnsi="Arial" w:cs="Arial"/>
              </w:rPr>
            </w:pPr>
            <w:r w:rsidRPr="008925CE">
              <w:rPr>
                <w:rFonts w:ascii="Arial" w:hAnsi="Arial" w:cs="Arial"/>
              </w:rPr>
              <w:t>Drainage</w:t>
            </w:r>
          </w:p>
        </w:tc>
        <w:tc>
          <w:tcPr>
            <w:tcW w:w="3828" w:type="dxa"/>
            <w:tcBorders>
              <w:top w:val="nil"/>
              <w:left w:val="single" w:sz="4" w:space="0" w:color="auto"/>
              <w:bottom w:val="single" w:sz="4" w:space="0" w:color="auto"/>
              <w:right w:val="single" w:sz="4" w:space="0" w:color="auto"/>
            </w:tcBorders>
            <w:shd w:val="clear" w:color="auto" w:fill="FFFFFF" w:themeFill="background1"/>
            <w:vAlign w:val="center"/>
          </w:tcPr>
          <w:p w14:paraId="70CECFC6" w14:textId="77777777" w:rsidR="00B75C24" w:rsidRPr="008925CE" w:rsidRDefault="00B75C24" w:rsidP="00311130">
            <w:pPr>
              <w:keepNext/>
              <w:tabs>
                <w:tab w:val="left" w:pos="567"/>
              </w:tabs>
              <w:ind w:right="-613"/>
              <w:jc w:val="left"/>
              <w:rPr>
                <w:rFonts w:ascii="Arial" w:hAnsi="Arial" w:cs="Arial"/>
              </w:rPr>
            </w:pPr>
            <w:r w:rsidRPr="008925CE">
              <w:rPr>
                <w:rFonts w:ascii="Arial" w:hAnsi="Arial" w:cs="Arial"/>
              </w:rPr>
              <w:t>Drainage repairs</w:t>
            </w:r>
          </w:p>
        </w:tc>
        <w:tc>
          <w:tcPr>
            <w:tcW w:w="1701" w:type="dxa"/>
            <w:tcBorders>
              <w:top w:val="nil"/>
              <w:left w:val="single" w:sz="4" w:space="0" w:color="auto"/>
              <w:bottom w:val="single" w:sz="4" w:space="0" w:color="auto"/>
              <w:right w:val="single" w:sz="4" w:space="0" w:color="auto"/>
            </w:tcBorders>
            <w:shd w:val="clear" w:color="auto" w:fill="auto"/>
            <w:vAlign w:val="center"/>
          </w:tcPr>
          <w:p w14:paraId="4905D863" w14:textId="7176AFAD" w:rsidR="00B75C24" w:rsidRPr="008925CE" w:rsidRDefault="00B75C24" w:rsidP="00805F51">
            <w:pPr>
              <w:keepNext/>
              <w:tabs>
                <w:tab w:val="left" w:pos="567"/>
              </w:tabs>
              <w:ind w:left="-1667" w:right="176"/>
              <w:jc w:val="right"/>
              <w:rPr>
                <w:rFonts w:ascii="Arial" w:hAnsi="Arial" w:cs="Arial"/>
              </w:rPr>
            </w:pPr>
            <w:r w:rsidRPr="008925CE">
              <w:rPr>
                <w:rFonts w:ascii="Arial" w:hAnsi="Arial" w:cs="Arial"/>
              </w:rPr>
              <w:t>1.461</w:t>
            </w:r>
          </w:p>
        </w:tc>
      </w:tr>
      <w:tr w:rsidR="00B75C24" w:rsidRPr="008925CE" w14:paraId="2799B871" w14:textId="77777777" w:rsidTr="00311130">
        <w:tc>
          <w:tcPr>
            <w:tcW w:w="3397" w:type="dxa"/>
            <w:tcBorders>
              <w:top w:val="nil"/>
              <w:left w:val="single" w:sz="8" w:space="0" w:color="auto"/>
              <w:bottom w:val="single" w:sz="4" w:space="0" w:color="auto"/>
              <w:right w:val="single" w:sz="4" w:space="0" w:color="auto"/>
            </w:tcBorders>
            <w:shd w:val="clear" w:color="000000" w:fill="FFFFFF"/>
            <w:vAlign w:val="center"/>
          </w:tcPr>
          <w:p w14:paraId="60CC7E47" w14:textId="77777777" w:rsidR="00B75C24" w:rsidRPr="008925CE" w:rsidRDefault="00B75C24" w:rsidP="00805F51">
            <w:pPr>
              <w:tabs>
                <w:tab w:val="left" w:pos="567"/>
              </w:tabs>
              <w:ind w:right="-613"/>
              <w:rPr>
                <w:rFonts w:ascii="Arial" w:hAnsi="Arial" w:cs="Arial"/>
              </w:rPr>
            </w:pPr>
            <w:r w:rsidRPr="008925CE">
              <w:rPr>
                <w:rFonts w:ascii="Arial" w:hAnsi="Arial" w:cs="Arial"/>
              </w:rPr>
              <w:t>Traffic Signals</w:t>
            </w:r>
          </w:p>
        </w:tc>
        <w:tc>
          <w:tcPr>
            <w:tcW w:w="3828" w:type="dxa"/>
            <w:tcBorders>
              <w:top w:val="nil"/>
              <w:left w:val="single" w:sz="4" w:space="0" w:color="auto"/>
              <w:bottom w:val="single" w:sz="4" w:space="0" w:color="auto"/>
              <w:right w:val="single" w:sz="4" w:space="0" w:color="auto"/>
            </w:tcBorders>
            <w:shd w:val="clear" w:color="auto" w:fill="FFFFFF" w:themeFill="background1"/>
            <w:vAlign w:val="center"/>
          </w:tcPr>
          <w:p w14:paraId="20155EE9" w14:textId="77777777" w:rsidR="00B75C24" w:rsidRPr="008925CE" w:rsidRDefault="00B75C24" w:rsidP="00311130">
            <w:pPr>
              <w:tabs>
                <w:tab w:val="left" w:pos="567"/>
              </w:tabs>
              <w:ind w:right="-613"/>
              <w:jc w:val="left"/>
              <w:rPr>
                <w:rFonts w:ascii="Arial" w:hAnsi="Arial" w:cs="Arial"/>
              </w:rPr>
            </w:pPr>
            <w:r w:rsidRPr="008925CE">
              <w:rPr>
                <w:rFonts w:ascii="Arial" w:hAnsi="Arial" w:cs="Arial"/>
              </w:rPr>
              <w:t>Signal refurbishment work</w:t>
            </w:r>
          </w:p>
        </w:tc>
        <w:tc>
          <w:tcPr>
            <w:tcW w:w="1701" w:type="dxa"/>
            <w:tcBorders>
              <w:top w:val="nil"/>
              <w:left w:val="single" w:sz="4" w:space="0" w:color="auto"/>
              <w:bottom w:val="single" w:sz="4" w:space="0" w:color="auto"/>
              <w:right w:val="single" w:sz="4" w:space="0" w:color="auto"/>
            </w:tcBorders>
            <w:shd w:val="clear" w:color="auto" w:fill="auto"/>
            <w:vAlign w:val="center"/>
          </w:tcPr>
          <w:p w14:paraId="6EE6CED5" w14:textId="713E71D0" w:rsidR="00B75C24" w:rsidRPr="008925CE" w:rsidRDefault="00B75C24" w:rsidP="00805F51">
            <w:pPr>
              <w:tabs>
                <w:tab w:val="left" w:pos="567"/>
              </w:tabs>
              <w:ind w:left="-1667" w:right="176"/>
              <w:jc w:val="right"/>
              <w:rPr>
                <w:rFonts w:ascii="Arial" w:hAnsi="Arial" w:cs="Arial"/>
              </w:rPr>
            </w:pPr>
            <w:r w:rsidRPr="008925CE">
              <w:rPr>
                <w:rFonts w:ascii="Arial" w:hAnsi="Arial" w:cs="Arial"/>
              </w:rPr>
              <w:t>0.150</w:t>
            </w:r>
          </w:p>
        </w:tc>
      </w:tr>
      <w:tr w:rsidR="00B75C24" w:rsidRPr="008925CE" w14:paraId="2183F988" w14:textId="77777777" w:rsidTr="00311130">
        <w:tc>
          <w:tcPr>
            <w:tcW w:w="3397" w:type="dxa"/>
            <w:tcBorders>
              <w:top w:val="nil"/>
              <w:left w:val="single" w:sz="8" w:space="0" w:color="auto"/>
              <w:bottom w:val="single" w:sz="4" w:space="0" w:color="auto"/>
              <w:right w:val="single" w:sz="4" w:space="0" w:color="auto"/>
            </w:tcBorders>
            <w:shd w:val="clear" w:color="000000" w:fill="FFFFFF"/>
            <w:vAlign w:val="center"/>
          </w:tcPr>
          <w:p w14:paraId="4F4592A7" w14:textId="77777777" w:rsidR="00B75C24" w:rsidRPr="008925CE" w:rsidRDefault="00B75C24" w:rsidP="00805F51">
            <w:pPr>
              <w:tabs>
                <w:tab w:val="left" w:pos="567"/>
              </w:tabs>
              <w:ind w:right="-613"/>
              <w:rPr>
                <w:rFonts w:ascii="Arial" w:hAnsi="Arial" w:cs="Arial"/>
              </w:rPr>
            </w:pPr>
            <w:r w:rsidRPr="008925CE">
              <w:rPr>
                <w:rFonts w:ascii="Arial" w:hAnsi="Arial" w:cs="Arial"/>
              </w:rPr>
              <w:t>Street Lighting</w:t>
            </w:r>
          </w:p>
        </w:tc>
        <w:tc>
          <w:tcPr>
            <w:tcW w:w="3828" w:type="dxa"/>
            <w:tcBorders>
              <w:top w:val="nil"/>
              <w:left w:val="single" w:sz="4" w:space="0" w:color="auto"/>
              <w:bottom w:val="single" w:sz="4" w:space="0" w:color="auto"/>
              <w:right w:val="single" w:sz="4" w:space="0" w:color="auto"/>
            </w:tcBorders>
            <w:shd w:val="clear" w:color="auto" w:fill="FFFFFF" w:themeFill="background1"/>
            <w:vAlign w:val="center"/>
          </w:tcPr>
          <w:p w14:paraId="3B17F513" w14:textId="77777777" w:rsidR="00B75C24" w:rsidRPr="008925CE" w:rsidRDefault="00B75C24" w:rsidP="00311130">
            <w:pPr>
              <w:tabs>
                <w:tab w:val="left" w:pos="567"/>
              </w:tabs>
              <w:ind w:right="-613"/>
              <w:jc w:val="left"/>
              <w:rPr>
                <w:rFonts w:ascii="Arial" w:hAnsi="Arial" w:cs="Arial"/>
              </w:rPr>
            </w:pPr>
            <w:r w:rsidRPr="008925CE">
              <w:rPr>
                <w:rFonts w:ascii="Arial" w:hAnsi="Arial" w:cs="Arial"/>
              </w:rPr>
              <w:t>Fault repairs</w:t>
            </w:r>
          </w:p>
        </w:tc>
        <w:tc>
          <w:tcPr>
            <w:tcW w:w="1701" w:type="dxa"/>
            <w:tcBorders>
              <w:top w:val="nil"/>
              <w:left w:val="single" w:sz="4" w:space="0" w:color="auto"/>
              <w:bottom w:val="single" w:sz="4" w:space="0" w:color="auto"/>
              <w:right w:val="single" w:sz="4" w:space="0" w:color="auto"/>
            </w:tcBorders>
            <w:shd w:val="clear" w:color="auto" w:fill="auto"/>
            <w:vAlign w:val="center"/>
          </w:tcPr>
          <w:p w14:paraId="21219CAA" w14:textId="03A11D0C" w:rsidR="00B75C24" w:rsidRPr="008925CE" w:rsidRDefault="00B75C24" w:rsidP="00805F51">
            <w:pPr>
              <w:tabs>
                <w:tab w:val="left" w:pos="567"/>
              </w:tabs>
              <w:ind w:left="-1667" w:right="176"/>
              <w:jc w:val="right"/>
              <w:rPr>
                <w:rFonts w:ascii="Arial" w:hAnsi="Arial" w:cs="Arial"/>
              </w:rPr>
            </w:pPr>
            <w:r w:rsidRPr="008925CE">
              <w:rPr>
                <w:rFonts w:ascii="Arial" w:hAnsi="Arial" w:cs="Arial"/>
              </w:rPr>
              <w:t>1.844</w:t>
            </w:r>
          </w:p>
        </w:tc>
      </w:tr>
      <w:tr w:rsidR="00B75C24" w:rsidRPr="008925CE" w14:paraId="6966612A" w14:textId="77777777" w:rsidTr="00311130">
        <w:tc>
          <w:tcPr>
            <w:tcW w:w="7225" w:type="dxa"/>
            <w:gridSpan w:val="2"/>
            <w:tcBorders>
              <w:top w:val="nil"/>
              <w:left w:val="single" w:sz="8" w:space="0" w:color="auto"/>
              <w:bottom w:val="single" w:sz="4" w:space="0" w:color="auto"/>
              <w:right w:val="single" w:sz="4" w:space="0" w:color="auto"/>
            </w:tcBorders>
            <w:shd w:val="clear" w:color="000000" w:fill="FFFFFF"/>
            <w:vAlign w:val="center"/>
          </w:tcPr>
          <w:p w14:paraId="5F088CBA" w14:textId="77777777" w:rsidR="00B75C24" w:rsidRPr="008925CE" w:rsidRDefault="00B75C24" w:rsidP="00805F51">
            <w:pPr>
              <w:tabs>
                <w:tab w:val="left" w:pos="567"/>
              </w:tabs>
              <w:ind w:right="-613"/>
              <w:rPr>
                <w:rFonts w:ascii="Arial" w:hAnsi="Arial" w:cs="Arial"/>
                <w:b/>
              </w:rPr>
            </w:pPr>
            <w:r w:rsidRPr="008925CE">
              <w:rPr>
                <w:rFonts w:ascii="Arial" w:hAnsi="Arial" w:cs="Arial"/>
                <w:b/>
              </w:rPr>
              <w:t>Total</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14:paraId="660BAFDB" w14:textId="56E3F8CD" w:rsidR="00B75C24" w:rsidRPr="008925CE" w:rsidRDefault="00B75C24" w:rsidP="00805F51">
            <w:pPr>
              <w:tabs>
                <w:tab w:val="left" w:pos="567"/>
              </w:tabs>
              <w:ind w:left="-1667" w:right="176"/>
              <w:jc w:val="right"/>
              <w:rPr>
                <w:rFonts w:ascii="Arial" w:hAnsi="Arial" w:cs="Arial"/>
                <w:b/>
              </w:rPr>
            </w:pPr>
            <w:r w:rsidRPr="008925CE">
              <w:rPr>
                <w:rFonts w:ascii="Arial" w:hAnsi="Arial" w:cs="Arial"/>
                <w:b/>
              </w:rPr>
              <w:t>3.455</w:t>
            </w:r>
          </w:p>
        </w:tc>
      </w:tr>
    </w:tbl>
    <w:p w14:paraId="17AA64B9" w14:textId="77777777" w:rsidR="00B75C24" w:rsidRPr="008925CE" w:rsidRDefault="00B75C24" w:rsidP="00B75C24">
      <w:pPr>
        <w:tabs>
          <w:tab w:val="left" w:pos="567"/>
        </w:tabs>
        <w:spacing w:after="0"/>
        <w:ind w:right="-613"/>
        <w:rPr>
          <w:rFonts w:cs="Arial"/>
          <w:b/>
        </w:rPr>
      </w:pPr>
    </w:p>
    <w:p w14:paraId="7EE6C639" w14:textId="77777777" w:rsidR="00B75C24" w:rsidRDefault="00B75C24" w:rsidP="00B75C24">
      <w:pPr>
        <w:tabs>
          <w:tab w:val="left" w:pos="567"/>
        </w:tabs>
        <w:spacing w:after="0"/>
        <w:ind w:right="-613"/>
        <w:rPr>
          <w:rFonts w:cs="Arial"/>
          <w:b/>
        </w:rPr>
      </w:pPr>
      <w:r>
        <w:rPr>
          <w:rFonts w:cs="Arial"/>
          <w:b/>
        </w:rPr>
        <w:t>2.</w:t>
      </w:r>
      <w:r>
        <w:rPr>
          <w:rFonts w:cs="Arial"/>
          <w:b/>
        </w:rPr>
        <w:tab/>
      </w:r>
      <w:r w:rsidRPr="008925CE">
        <w:rPr>
          <w:rFonts w:cs="Arial"/>
          <w:b/>
        </w:rPr>
        <w:t xml:space="preserve">Transport </w:t>
      </w:r>
    </w:p>
    <w:p w14:paraId="764F81AC" w14:textId="77777777" w:rsidR="00B75C24" w:rsidRPr="008925CE" w:rsidRDefault="00B75C24" w:rsidP="00B75C24">
      <w:pPr>
        <w:tabs>
          <w:tab w:val="left" w:pos="567"/>
        </w:tabs>
        <w:spacing w:after="0"/>
        <w:ind w:right="-613"/>
        <w:rPr>
          <w:rFonts w:cs="Arial"/>
          <w:b/>
        </w:rPr>
      </w:pPr>
    </w:p>
    <w:p w14:paraId="632EA52F" w14:textId="77777777" w:rsidR="00B75C24" w:rsidRPr="008925CE" w:rsidRDefault="00B75C24" w:rsidP="00B75C24">
      <w:pPr>
        <w:tabs>
          <w:tab w:val="left" w:pos="567"/>
        </w:tabs>
        <w:spacing w:after="0"/>
        <w:ind w:right="-613"/>
        <w:rPr>
          <w:rFonts w:cs="Arial"/>
        </w:rPr>
      </w:pPr>
      <w:r w:rsidRPr="008925CE">
        <w:rPr>
          <w:rFonts w:cs="Arial"/>
        </w:rPr>
        <w:t xml:space="preserve">The indicative 2018-19 Integrated Transport allocation is £6.054 million. </w:t>
      </w:r>
      <w:r>
        <w:rPr>
          <w:rFonts w:cs="Arial"/>
        </w:rPr>
        <w:t xml:space="preserve"> </w:t>
      </w:r>
      <w:r w:rsidRPr="008925CE">
        <w:rPr>
          <w:rFonts w:cs="Arial"/>
        </w:rPr>
        <w:t>However, the new start 2018-19 capital requirements for transport have a total value of £10.161m and comprise;</w:t>
      </w:r>
    </w:p>
    <w:p w14:paraId="0F83E61A" w14:textId="77777777" w:rsidR="00B75C24" w:rsidRPr="008925CE" w:rsidRDefault="00B75C24" w:rsidP="00B75C24">
      <w:pPr>
        <w:tabs>
          <w:tab w:val="left" w:pos="567"/>
        </w:tabs>
        <w:spacing w:after="0"/>
        <w:ind w:right="-613"/>
        <w:rPr>
          <w:rFonts w:cs="Arial"/>
        </w:rPr>
      </w:pPr>
    </w:p>
    <w:p w14:paraId="521F27BF" w14:textId="77777777" w:rsidR="00B75C24" w:rsidRPr="008925CE" w:rsidRDefault="00B75C24" w:rsidP="00B75C24">
      <w:pPr>
        <w:numPr>
          <w:ilvl w:val="0"/>
          <w:numId w:val="35"/>
        </w:numPr>
        <w:tabs>
          <w:tab w:val="left" w:pos="567"/>
        </w:tabs>
        <w:autoSpaceDE/>
        <w:autoSpaceDN/>
        <w:adjustRightInd/>
        <w:spacing w:after="0"/>
        <w:ind w:left="0" w:right="-613" w:firstLine="0"/>
        <w:contextualSpacing/>
        <w:rPr>
          <w:rFonts w:cs="Arial"/>
        </w:rPr>
      </w:pPr>
      <w:r w:rsidRPr="008925CE">
        <w:rPr>
          <w:rFonts w:cs="Arial"/>
        </w:rPr>
        <w:t>Approved 'first calls' with a value of £4.175 million</w:t>
      </w:r>
    </w:p>
    <w:p w14:paraId="10449BFD" w14:textId="77777777" w:rsidR="00B75C24" w:rsidRPr="008925CE" w:rsidRDefault="00B75C24" w:rsidP="00B75C24">
      <w:pPr>
        <w:numPr>
          <w:ilvl w:val="0"/>
          <w:numId w:val="35"/>
        </w:numPr>
        <w:tabs>
          <w:tab w:val="left" w:pos="567"/>
        </w:tabs>
        <w:autoSpaceDE/>
        <w:autoSpaceDN/>
        <w:adjustRightInd/>
        <w:spacing w:after="0"/>
        <w:ind w:left="0" w:right="-613" w:firstLine="0"/>
        <w:contextualSpacing/>
        <w:rPr>
          <w:rFonts w:cs="Arial"/>
        </w:rPr>
      </w:pPr>
      <w:r w:rsidRPr="008925CE">
        <w:rPr>
          <w:rFonts w:cs="Arial"/>
        </w:rPr>
        <w:t>Funding for the continuation of annual programmes of work with a value of £4.270 million</w:t>
      </w:r>
    </w:p>
    <w:p w14:paraId="3320E4F8" w14:textId="77777777" w:rsidR="00B75C24" w:rsidRPr="008925CE" w:rsidRDefault="00B75C24" w:rsidP="00B75C24">
      <w:pPr>
        <w:numPr>
          <w:ilvl w:val="0"/>
          <w:numId w:val="35"/>
        </w:numPr>
        <w:tabs>
          <w:tab w:val="left" w:pos="567"/>
        </w:tabs>
        <w:autoSpaceDE/>
        <w:autoSpaceDN/>
        <w:adjustRightInd/>
        <w:spacing w:after="0"/>
        <w:ind w:left="0" w:right="-613" w:firstLine="0"/>
        <w:contextualSpacing/>
        <w:rPr>
          <w:rFonts w:cs="Arial"/>
        </w:rPr>
      </w:pPr>
      <w:r w:rsidRPr="008925CE">
        <w:rPr>
          <w:rFonts w:cs="Arial"/>
        </w:rPr>
        <w:t xml:space="preserve">Additional funding requirements for previously approved projects with a value of  £0.136 million </w:t>
      </w:r>
    </w:p>
    <w:p w14:paraId="0FFCD071" w14:textId="77777777" w:rsidR="00B75C24" w:rsidRPr="008925CE" w:rsidRDefault="00B75C24" w:rsidP="00B75C24">
      <w:pPr>
        <w:numPr>
          <w:ilvl w:val="0"/>
          <w:numId w:val="35"/>
        </w:numPr>
        <w:tabs>
          <w:tab w:val="left" w:pos="567"/>
        </w:tabs>
        <w:autoSpaceDE/>
        <w:autoSpaceDN/>
        <w:adjustRightInd/>
        <w:spacing w:after="0"/>
        <w:ind w:left="0" w:right="-613" w:firstLine="0"/>
        <w:contextualSpacing/>
        <w:rPr>
          <w:rFonts w:cs="Arial"/>
        </w:rPr>
      </w:pPr>
      <w:r w:rsidRPr="008925CE">
        <w:rPr>
          <w:rFonts w:cs="Arial"/>
        </w:rPr>
        <w:t>Proposed new projects to be delivered in 2018-19 and beyond with a value of £1.580 million</w:t>
      </w:r>
    </w:p>
    <w:p w14:paraId="70D54A6D" w14:textId="77777777" w:rsidR="00B75C24" w:rsidRPr="008925CE" w:rsidRDefault="00B75C24" w:rsidP="00B75C24">
      <w:pPr>
        <w:tabs>
          <w:tab w:val="left" w:pos="567"/>
        </w:tabs>
        <w:spacing w:after="0"/>
        <w:ind w:right="-613"/>
        <w:contextualSpacing/>
        <w:rPr>
          <w:rFonts w:cs="Arial"/>
        </w:rPr>
      </w:pPr>
    </w:p>
    <w:p w14:paraId="41952D76" w14:textId="38415AEE" w:rsidR="00B75C24" w:rsidRPr="008925CE" w:rsidRDefault="00B75C24" w:rsidP="00B75C24">
      <w:pPr>
        <w:tabs>
          <w:tab w:val="left" w:pos="567"/>
        </w:tabs>
        <w:spacing w:after="0"/>
        <w:ind w:right="-613"/>
        <w:rPr>
          <w:rFonts w:cs="Arial"/>
        </w:rPr>
      </w:pPr>
      <w:r w:rsidRPr="008925CE">
        <w:rPr>
          <w:rFonts w:cs="Arial"/>
        </w:rPr>
        <w:t>Details of these funding require</w:t>
      </w:r>
      <w:r w:rsidR="00073097">
        <w:rPr>
          <w:rFonts w:cs="Arial"/>
        </w:rPr>
        <w:t>ments are outlined in Tables 6-9</w:t>
      </w:r>
      <w:r w:rsidRPr="008925CE">
        <w:rPr>
          <w:rFonts w:cs="Arial"/>
        </w:rPr>
        <w:t xml:space="preserve"> below.</w:t>
      </w:r>
    </w:p>
    <w:p w14:paraId="12FDD712" w14:textId="77777777" w:rsidR="00B75C24" w:rsidRPr="008925CE" w:rsidRDefault="00B75C24" w:rsidP="00B75C24">
      <w:pPr>
        <w:tabs>
          <w:tab w:val="left" w:pos="567"/>
        </w:tabs>
        <w:spacing w:after="0"/>
        <w:ind w:right="-613"/>
        <w:rPr>
          <w:rFonts w:cs="Arial"/>
        </w:rPr>
      </w:pPr>
    </w:p>
    <w:p w14:paraId="2F3080CB" w14:textId="77777777" w:rsidR="00B75C24" w:rsidRPr="008925CE" w:rsidRDefault="00B75C24" w:rsidP="00B75C24">
      <w:pPr>
        <w:tabs>
          <w:tab w:val="left" w:pos="567"/>
        </w:tabs>
        <w:spacing w:after="0"/>
        <w:ind w:right="-613"/>
        <w:rPr>
          <w:rFonts w:cs="Arial"/>
        </w:rPr>
      </w:pPr>
      <w:r w:rsidRPr="008925CE">
        <w:rPr>
          <w:rFonts w:cs="Arial"/>
        </w:rPr>
        <w:t>It is proposed that the funding gap of £4.107 million is funded by re-purposing previously approved allocations for projects that cannot be delivered in 2018-19 as detailed in table 5.</w:t>
      </w:r>
    </w:p>
    <w:p w14:paraId="72C9A883" w14:textId="77777777" w:rsidR="00B75C24" w:rsidRPr="008925CE" w:rsidRDefault="00B75C24" w:rsidP="00B75C24">
      <w:pPr>
        <w:tabs>
          <w:tab w:val="left" w:pos="567"/>
        </w:tabs>
        <w:spacing w:after="0"/>
        <w:ind w:right="-613"/>
        <w:rPr>
          <w:rFonts w:cs="Arial"/>
        </w:rPr>
      </w:pPr>
    </w:p>
    <w:p w14:paraId="3D528F58" w14:textId="5FAA00B2" w:rsidR="00311130" w:rsidRDefault="00311130">
      <w:pPr>
        <w:autoSpaceDE/>
        <w:autoSpaceDN/>
        <w:adjustRightInd/>
        <w:spacing w:after="0"/>
        <w:jc w:val="left"/>
        <w:rPr>
          <w:rFonts w:cs="Arial"/>
        </w:rPr>
      </w:pPr>
      <w:r>
        <w:rPr>
          <w:rFonts w:cs="Arial"/>
        </w:rPr>
        <w:br w:type="page"/>
      </w:r>
    </w:p>
    <w:p w14:paraId="2351F039" w14:textId="77777777" w:rsidR="00B75C24" w:rsidRPr="008925CE" w:rsidRDefault="00B75C24" w:rsidP="00B75C24">
      <w:pPr>
        <w:tabs>
          <w:tab w:val="left" w:pos="567"/>
        </w:tabs>
        <w:spacing w:after="0"/>
        <w:ind w:right="-613"/>
        <w:rPr>
          <w:rFonts w:cs="Arial"/>
        </w:rPr>
      </w:pPr>
    </w:p>
    <w:p w14:paraId="1979789A" w14:textId="0C5D179E" w:rsidR="00B75C24" w:rsidRPr="008925CE" w:rsidRDefault="00073097" w:rsidP="00B75C24">
      <w:pPr>
        <w:tabs>
          <w:tab w:val="left" w:pos="567"/>
        </w:tabs>
        <w:spacing w:after="0"/>
        <w:ind w:right="-613"/>
        <w:rPr>
          <w:rFonts w:cs="Arial"/>
          <w:b/>
        </w:rPr>
      </w:pPr>
      <w:r>
        <w:rPr>
          <w:rFonts w:cs="Arial"/>
          <w:b/>
        </w:rPr>
        <w:t>Table 5</w:t>
      </w:r>
      <w:r w:rsidR="00B75C24" w:rsidRPr="008925CE">
        <w:rPr>
          <w:rFonts w:cs="Arial"/>
          <w:b/>
        </w:rPr>
        <w:t xml:space="preserve"> - Approved first calls on the 2018-19 Integrated Transport Block that have been previously approved by Cabinet. </w:t>
      </w:r>
    </w:p>
    <w:p w14:paraId="641460C5" w14:textId="77777777" w:rsidR="00B75C24" w:rsidRPr="008925CE" w:rsidRDefault="00B75C24" w:rsidP="00B75C24">
      <w:pPr>
        <w:tabs>
          <w:tab w:val="left" w:pos="567"/>
        </w:tabs>
        <w:spacing w:after="0"/>
        <w:ind w:right="-613"/>
        <w:rPr>
          <w:rFonts w:cs="Arial"/>
          <w:b/>
        </w:rPr>
      </w:pPr>
    </w:p>
    <w:tbl>
      <w:tblPr>
        <w:tblStyle w:val="TableGrid3"/>
        <w:tblW w:w="15451" w:type="dxa"/>
        <w:tblInd w:w="-572" w:type="dxa"/>
        <w:tblLook w:val="04A0" w:firstRow="1" w:lastRow="0" w:firstColumn="1" w:lastColumn="0" w:noHBand="0" w:noVBand="1"/>
      </w:tblPr>
      <w:tblGrid>
        <w:gridCol w:w="2268"/>
        <w:gridCol w:w="2270"/>
        <w:gridCol w:w="2266"/>
        <w:gridCol w:w="8647"/>
      </w:tblGrid>
      <w:tr w:rsidR="00B75C24" w:rsidRPr="008925CE" w14:paraId="472AD133" w14:textId="77777777" w:rsidTr="00F835B2">
        <w:trPr>
          <w:tblHeader/>
        </w:trPr>
        <w:tc>
          <w:tcPr>
            <w:tcW w:w="2268" w:type="dxa"/>
            <w:shd w:val="clear" w:color="auto" w:fill="D9D9D9" w:themeFill="background1" w:themeFillShade="D9"/>
          </w:tcPr>
          <w:p w14:paraId="7CD14193" w14:textId="77777777" w:rsidR="00B75C24" w:rsidRPr="008925CE" w:rsidRDefault="00B75C24" w:rsidP="009D6093">
            <w:pPr>
              <w:tabs>
                <w:tab w:val="left" w:pos="567"/>
              </w:tabs>
              <w:spacing w:after="0"/>
              <w:ind w:right="-613"/>
              <w:rPr>
                <w:rFonts w:ascii="Arial" w:hAnsi="Arial" w:cs="Arial"/>
                <w:b/>
              </w:rPr>
            </w:pPr>
            <w:r w:rsidRPr="008925CE">
              <w:rPr>
                <w:rFonts w:ascii="Arial" w:hAnsi="Arial" w:cs="Arial"/>
                <w:b/>
              </w:rPr>
              <w:t>Project Name</w:t>
            </w:r>
          </w:p>
        </w:tc>
        <w:tc>
          <w:tcPr>
            <w:tcW w:w="2270" w:type="dxa"/>
            <w:shd w:val="clear" w:color="auto" w:fill="D9D9D9" w:themeFill="background1" w:themeFillShade="D9"/>
          </w:tcPr>
          <w:p w14:paraId="02CDA6B5" w14:textId="77777777" w:rsidR="00B75C24" w:rsidRPr="008925CE" w:rsidRDefault="00B75C24" w:rsidP="009D6093">
            <w:pPr>
              <w:tabs>
                <w:tab w:val="left" w:pos="567"/>
              </w:tabs>
              <w:spacing w:after="0"/>
              <w:ind w:right="177"/>
              <w:rPr>
                <w:rFonts w:ascii="Arial" w:hAnsi="Arial" w:cs="Arial"/>
                <w:b/>
              </w:rPr>
            </w:pPr>
            <w:r w:rsidRPr="008925CE">
              <w:rPr>
                <w:rFonts w:ascii="Arial" w:hAnsi="Arial" w:cs="Arial"/>
                <w:b/>
              </w:rPr>
              <w:t>Project Description</w:t>
            </w:r>
          </w:p>
        </w:tc>
        <w:tc>
          <w:tcPr>
            <w:tcW w:w="2266" w:type="dxa"/>
            <w:shd w:val="clear" w:color="auto" w:fill="D9D9D9" w:themeFill="background1" w:themeFillShade="D9"/>
            <w:vAlign w:val="center"/>
          </w:tcPr>
          <w:p w14:paraId="02CCA718" w14:textId="01420C81" w:rsidR="009D6093" w:rsidRDefault="00B75C24" w:rsidP="009D6093">
            <w:pPr>
              <w:tabs>
                <w:tab w:val="left" w:pos="567"/>
              </w:tabs>
              <w:spacing w:after="0"/>
              <w:ind w:right="-613"/>
              <w:rPr>
                <w:rFonts w:ascii="Arial" w:hAnsi="Arial" w:cs="Arial"/>
                <w:b/>
              </w:rPr>
            </w:pPr>
            <w:r w:rsidRPr="008925CE">
              <w:rPr>
                <w:rFonts w:ascii="Arial" w:hAnsi="Arial" w:cs="Arial"/>
                <w:b/>
              </w:rPr>
              <w:t xml:space="preserve">Approved Budgets </w:t>
            </w:r>
          </w:p>
          <w:p w14:paraId="26811C70" w14:textId="0032F64D" w:rsidR="00B75C24" w:rsidRPr="008925CE" w:rsidRDefault="00B75C24" w:rsidP="009D6093">
            <w:pPr>
              <w:tabs>
                <w:tab w:val="left" w:pos="567"/>
              </w:tabs>
              <w:spacing w:after="0"/>
              <w:ind w:right="175"/>
              <w:jc w:val="right"/>
              <w:rPr>
                <w:rFonts w:ascii="Arial" w:hAnsi="Arial" w:cs="Arial"/>
                <w:b/>
              </w:rPr>
            </w:pPr>
            <w:r w:rsidRPr="008925CE">
              <w:rPr>
                <w:rFonts w:ascii="Arial" w:hAnsi="Arial" w:cs="Arial"/>
                <w:b/>
              </w:rPr>
              <w:t>(£m)</w:t>
            </w:r>
          </w:p>
        </w:tc>
        <w:tc>
          <w:tcPr>
            <w:tcW w:w="8647" w:type="dxa"/>
            <w:shd w:val="clear" w:color="auto" w:fill="D9D9D9" w:themeFill="background1" w:themeFillShade="D9"/>
          </w:tcPr>
          <w:p w14:paraId="422CAE63" w14:textId="77777777" w:rsidR="00B75C24" w:rsidRPr="008925CE" w:rsidRDefault="00B75C24" w:rsidP="009D6093">
            <w:pPr>
              <w:tabs>
                <w:tab w:val="left" w:pos="567"/>
              </w:tabs>
              <w:spacing w:after="0"/>
              <w:ind w:right="-613"/>
              <w:rPr>
                <w:rFonts w:ascii="Arial" w:hAnsi="Arial" w:cs="Arial"/>
                <w:b/>
              </w:rPr>
            </w:pPr>
            <w:r w:rsidRPr="008925CE">
              <w:rPr>
                <w:rFonts w:ascii="Arial" w:hAnsi="Arial" w:cs="Arial"/>
                <w:b/>
              </w:rPr>
              <w:t>Justification</w:t>
            </w:r>
          </w:p>
        </w:tc>
      </w:tr>
      <w:tr w:rsidR="00B75C24" w:rsidRPr="008925CE" w14:paraId="7B001D71" w14:textId="77777777" w:rsidTr="00311130">
        <w:tc>
          <w:tcPr>
            <w:tcW w:w="2268" w:type="dxa"/>
          </w:tcPr>
          <w:p w14:paraId="50A86512" w14:textId="77777777" w:rsidR="00B75C24" w:rsidRPr="008925CE" w:rsidRDefault="00B75C24" w:rsidP="00311130">
            <w:pPr>
              <w:tabs>
                <w:tab w:val="left" w:pos="567"/>
              </w:tabs>
              <w:ind w:right="39"/>
              <w:jc w:val="left"/>
              <w:rPr>
                <w:rFonts w:ascii="Arial" w:hAnsi="Arial" w:cs="Arial"/>
              </w:rPr>
            </w:pPr>
            <w:r w:rsidRPr="008925CE">
              <w:rPr>
                <w:rFonts w:ascii="Arial" w:hAnsi="Arial" w:cs="Arial"/>
              </w:rPr>
              <w:t>Skelmersdale Rail Link</w:t>
            </w:r>
          </w:p>
        </w:tc>
        <w:tc>
          <w:tcPr>
            <w:tcW w:w="2270" w:type="dxa"/>
          </w:tcPr>
          <w:p w14:paraId="673A51AE" w14:textId="77777777" w:rsidR="00B75C24" w:rsidRPr="008925CE" w:rsidRDefault="00B75C24" w:rsidP="00311130">
            <w:pPr>
              <w:tabs>
                <w:tab w:val="left" w:pos="567"/>
              </w:tabs>
              <w:ind w:right="35"/>
              <w:jc w:val="left"/>
              <w:rPr>
                <w:rFonts w:ascii="Arial" w:hAnsi="Arial" w:cs="Arial"/>
              </w:rPr>
            </w:pPr>
            <w:r w:rsidRPr="008925CE">
              <w:rPr>
                <w:rFonts w:ascii="Arial" w:hAnsi="Arial" w:cs="Arial"/>
              </w:rPr>
              <w:t>Additional funding for Skelmersdale Grip 2 refresh and Grip 3A study</w:t>
            </w:r>
          </w:p>
        </w:tc>
        <w:tc>
          <w:tcPr>
            <w:tcW w:w="2266" w:type="dxa"/>
          </w:tcPr>
          <w:p w14:paraId="435C80DD" w14:textId="51A567EE" w:rsidR="00B75C24" w:rsidRPr="00E15826" w:rsidRDefault="00B75C24" w:rsidP="00311130">
            <w:pPr>
              <w:tabs>
                <w:tab w:val="left" w:pos="567"/>
              </w:tabs>
              <w:ind w:right="175"/>
              <w:jc w:val="right"/>
              <w:rPr>
                <w:rFonts w:ascii="Arial" w:hAnsi="Arial" w:cs="Arial"/>
              </w:rPr>
            </w:pPr>
            <w:r w:rsidRPr="00E15826">
              <w:rPr>
                <w:rFonts w:ascii="Arial" w:hAnsi="Arial" w:cs="Arial"/>
              </w:rPr>
              <w:t>0.955</w:t>
            </w:r>
          </w:p>
        </w:tc>
        <w:tc>
          <w:tcPr>
            <w:tcW w:w="8647" w:type="dxa"/>
            <w:shd w:val="clear" w:color="auto" w:fill="auto"/>
          </w:tcPr>
          <w:p w14:paraId="4EC87367" w14:textId="1AE162F9" w:rsidR="00B75C24" w:rsidRPr="008925CE" w:rsidRDefault="00B75C24" w:rsidP="00311130">
            <w:pPr>
              <w:tabs>
                <w:tab w:val="left" w:pos="567"/>
              </w:tabs>
              <w:spacing w:after="0"/>
              <w:rPr>
                <w:rFonts w:ascii="Arial" w:hAnsi="Arial" w:cs="Arial"/>
              </w:rPr>
            </w:pPr>
            <w:r w:rsidRPr="008925CE">
              <w:rPr>
                <w:rFonts w:ascii="Arial" w:hAnsi="Arial" w:cs="Arial"/>
              </w:rPr>
              <w:t xml:space="preserve">In March 2017, the then Cabinet Member for Highways and Transport approved  that the additional funding of £0.955 to complete the GRIP 2 refresh and GRIP 3A was a first call on the 2018-19 Integrated  Transport allocation. </w:t>
            </w:r>
            <w:r w:rsidR="00311130">
              <w:rPr>
                <w:rFonts w:ascii="Arial" w:hAnsi="Arial" w:cs="Arial"/>
              </w:rPr>
              <w:t xml:space="preserve"> </w:t>
            </w:r>
            <w:r w:rsidRPr="008925CE">
              <w:rPr>
                <w:rFonts w:ascii="Arial" w:hAnsi="Arial" w:cs="Arial"/>
              </w:rPr>
              <w:t xml:space="preserve">The unallocated balance remaining after budget has been committed to acquire the Westbank site and the demolition of all buildings on this and the Glenburn High School site is not </w:t>
            </w:r>
            <w:r>
              <w:rPr>
                <w:rFonts w:ascii="Arial" w:hAnsi="Arial" w:cs="Arial"/>
              </w:rPr>
              <w:t>sufficient</w:t>
            </w:r>
            <w:r w:rsidRPr="008925CE">
              <w:rPr>
                <w:rFonts w:ascii="Arial" w:hAnsi="Arial" w:cs="Arial"/>
              </w:rPr>
              <w:t xml:space="preserve"> to cover the revised value of the study.  This represents </w:t>
            </w:r>
            <w:r>
              <w:rPr>
                <w:rFonts w:ascii="Arial" w:hAnsi="Arial" w:cs="Arial"/>
              </w:rPr>
              <w:t xml:space="preserve">an </w:t>
            </w:r>
            <w:r w:rsidRPr="008925CE">
              <w:rPr>
                <w:rFonts w:ascii="Arial" w:hAnsi="Arial" w:cs="Arial"/>
              </w:rPr>
              <w:t xml:space="preserve">LCC contribution of 85%, </w:t>
            </w:r>
            <w:r>
              <w:rPr>
                <w:rFonts w:ascii="Arial" w:hAnsi="Arial" w:cs="Arial"/>
              </w:rPr>
              <w:t>with</w:t>
            </w:r>
            <w:r w:rsidRPr="008925CE">
              <w:rPr>
                <w:rFonts w:ascii="Arial" w:hAnsi="Arial" w:cs="Arial"/>
              </w:rPr>
              <w:t xml:space="preserve"> 15% funded by Mersey Rail.</w:t>
            </w:r>
          </w:p>
        </w:tc>
      </w:tr>
      <w:tr w:rsidR="00B75C24" w:rsidRPr="008925CE" w14:paraId="71DA089C" w14:textId="77777777" w:rsidTr="00311130">
        <w:tc>
          <w:tcPr>
            <w:tcW w:w="2268" w:type="dxa"/>
          </w:tcPr>
          <w:p w14:paraId="4E766EE3" w14:textId="77777777" w:rsidR="00B75C24" w:rsidRPr="008925CE" w:rsidRDefault="00B75C24" w:rsidP="00311130">
            <w:pPr>
              <w:tabs>
                <w:tab w:val="left" w:pos="567"/>
              </w:tabs>
              <w:ind w:right="39"/>
              <w:jc w:val="left"/>
              <w:rPr>
                <w:rFonts w:ascii="Arial" w:hAnsi="Arial" w:cs="Arial"/>
              </w:rPr>
            </w:pPr>
            <w:r w:rsidRPr="008925CE">
              <w:rPr>
                <w:rFonts w:ascii="Arial" w:hAnsi="Arial" w:cs="Arial"/>
              </w:rPr>
              <w:t>Skelmersdale Rail Link</w:t>
            </w:r>
          </w:p>
        </w:tc>
        <w:tc>
          <w:tcPr>
            <w:tcW w:w="2270" w:type="dxa"/>
          </w:tcPr>
          <w:p w14:paraId="3088D79A" w14:textId="77777777" w:rsidR="00B75C24" w:rsidRPr="00D231C1" w:rsidRDefault="00B75C24" w:rsidP="00311130">
            <w:pPr>
              <w:tabs>
                <w:tab w:val="left" w:pos="567"/>
              </w:tabs>
              <w:ind w:right="35"/>
              <w:jc w:val="left"/>
              <w:rPr>
                <w:rFonts w:ascii="Arial" w:hAnsi="Arial" w:cs="Arial"/>
              </w:rPr>
            </w:pPr>
            <w:r w:rsidRPr="00D231C1">
              <w:rPr>
                <w:rFonts w:ascii="Arial" w:hAnsi="Arial" w:cs="Arial"/>
              </w:rPr>
              <w:t>To complete the project including the Grip 2 refresh and Grip 3A study</w:t>
            </w:r>
          </w:p>
        </w:tc>
        <w:tc>
          <w:tcPr>
            <w:tcW w:w="2266" w:type="dxa"/>
          </w:tcPr>
          <w:p w14:paraId="0CC40052" w14:textId="5190F392" w:rsidR="00B75C24" w:rsidRPr="00E15826" w:rsidRDefault="00B75C24" w:rsidP="00311130">
            <w:pPr>
              <w:tabs>
                <w:tab w:val="left" w:pos="567"/>
              </w:tabs>
              <w:ind w:right="175"/>
              <w:jc w:val="right"/>
              <w:rPr>
                <w:rFonts w:ascii="Arial" w:hAnsi="Arial" w:cs="Arial"/>
              </w:rPr>
            </w:pPr>
            <w:r w:rsidRPr="00E15826">
              <w:rPr>
                <w:rFonts w:ascii="Arial" w:hAnsi="Arial" w:cs="Arial"/>
              </w:rPr>
              <w:t>0.430</w:t>
            </w:r>
          </w:p>
        </w:tc>
        <w:tc>
          <w:tcPr>
            <w:tcW w:w="8647" w:type="dxa"/>
          </w:tcPr>
          <w:p w14:paraId="641E1A0B" w14:textId="11BA8897" w:rsidR="00B75C24" w:rsidRPr="00D231C1" w:rsidRDefault="00B75C24" w:rsidP="00311130">
            <w:pPr>
              <w:spacing w:after="0"/>
              <w:rPr>
                <w:rFonts w:ascii="Arial" w:hAnsi="Arial" w:cs="Arial"/>
              </w:rPr>
            </w:pPr>
            <w:r w:rsidRPr="00D231C1">
              <w:rPr>
                <w:rFonts w:ascii="Arial" w:hAnsi="Arial" w:cs="Arial"/>
              </w:rPr>
              <w:t xml:space="preserve">In August 2017/18 it was identified that an additional £0.430 million was required to demolish the Glenburn Road sports college as detailed investigations into the demolition methodology revealed that significantly more asbestos removal was needed than first envisaged. </w:t>
            </w:r>
            <w:r w:rsidR="00311130">
              <w:rPr>
                <w:rFonts w:ascii="Arial" w:hAnsi="Arial" w:cs="Arial"/>
              </w:rPr>
              <w:t xml:space="preserve"> </w:t>
            </w:r>
            <w:r w:rsidRPr="00D231C1">
              <w:rPr>
                <w:rFonts w:ascii="Arial" w:hAnsi="Arial" w:cs="Arial"/>
              </w:rPr>
              <w:t xml:space="preserve">It was approved that this be funded from the wider Skelmersdale Rail Link project. </w:t>
            </w:r>
            <w:r w:rsidR="00311130">
              <w:rPr>
                <w:rFonts w:ascii="Arial" w:hAnsi="Arial" w:cs="Arial"/>
              </w:rPr>
              <w:t xml:space="preserve"> </w:t>
            </w:r>
            <w:r w:rsidRPr="00D231C1">
              <w:rPr>
                <w:rFonts w:ascii="Arial" w:hAnsi="Arial" w:cs="Arial"/>
              </w:rPr>
              <w:t>This created a shortfall in the project budget</w:t>
            </w:r>
            <w:r>
              <w:rPr>
                <w:rFonts w:ascii="Arial" w:hAnsi="Arial" w:cs="Arial"/>
              </w:rPr>
              <w:t>.</w:t>
            </w:r>
            <w:r w:rsidRPr="00D231C1">
              <w:rPr>
                <w:rFonts w:ascii="Arial" w:hAnsi="Arial" w:cs="Arial"/>
              </w:rPr>
              <w:t xml:space="preserve"> </w:t>
            </w:r>
            <w:r>
              <w:rPr>
                <w:rFonts w:ascii="Arial" w:hAnsi="Arial" w:cs="Arial"/>
              </w:rPr>
              <w:t>I</w:t>
            </w:r>
            <w:r w:rsidRPr="00D231C1">
              <w:rPr>
                <w:rFonts w:ascii="Arial" w:hAnsi="Arial" w:cs="Arial"/>
              </w:rPr>
              <w:t xml:space="preserve">t was approved that this shortfall </w:t>
            </w:r>
            <w:r>
              <w:rPr>
                <w:rFonts w:ascii="Arial" w:hAnsi="Arial" w:cs="Arial"/>
              </w:rPr>
              <w:t>be</w:t>
            </w:r>
            <w:r w:rsidRPr="00D231C1">
              <w:rPr>
                <w:rFonts w:ascii="Arial" w:hAnsi="Arial" w:cs="Arial"/>
              </w:rPr>
              <w:t xml:space="preserve"> the first call on the 2018/19 Department of Transport (DfT) transport allocation. </w:t>
            </w:r>
          </w:p>
        </w:tc>
      </w:tr>
      <w:tr w:rsidR="00B75C24" w:rsidRPr="008925CE" w14:paraId="42F4A48A" w14:textId="77777777" w:rsidTr="00311130">
        <w:tc>
          <w:tcPr>
            <w:tcW w:w="2268" w:type="dxa"/>
          </w:tcPr>
          <w:p w14:paraId="54894919" w14:textId="77777777" w:rsidR="00B75C24" w:rsidRPr="008925CE" w:rsidRDefault="00B75C24" w:rsidP="00311130">
            <w:pPr>
              <w:tabs>
                <w:tab w:val="left" w:pos="567"/>
              </w:tabs>
              <w:ind w:right="39"/>
              <w:jc w:val="left"/>
              <w:rPr>
                <w:rFonts w:ascii="Arial" w:hAnsi="Arial" w:cs="Arial"/>
              </w:rPr>
            </w:pPr>
            <w:r w:rsidRPr="008925CE">
              <w:rPr>
                <w:rFonts w:ascii="Arial" w:hAnsi="Arial" w:cs="Arial"/>
              </w:rPr>
              <w:t>The Bay Gateway</w:t>
            </w:r>
          </w:p>
        </w:tc>
        <w:tc>
          <w:tcPr>
            <w:tcW w:w="2270" w:type="dxa"/>
          </w:tcPr>
          <w:p w14:paraId="31C62ACF" w14:textId="71A6951A" w:rsidR="00B75C24" w:rsidRPr="008925CE" w:rsidRDefault="00B75C24" w:rsidP="00311130">
            <w:pPr>
              <w:tabs>
                <w:tab w:val="left" w:pos="567"/>
              </w:tabs>
              <w:ind w:right="35"/>
              <w:jc w:val="left"/>
              <w:rPr>
                <w:rFonts w:ascii="Arial" w:hAnsi="Arial" w:cs="Arial"/>
              </w:rPr>
            </w:pPr>
            <w:r w:rsidRPr="008925CE">
              <w:rPr>
                <w:rFonts w:ascii="Arial" w:hAnsi="Arial" w:cs="Arial"/>
              </w:rPr>
              <w:t xml:space="preserve">Provision for final stages of scheme delivery (i.e. </w:t>
            </w:r>
            <w:r w:rsidR="00311130">
              <w:rPr>
                <w:rFonts w:ascii="Arial" w:hAnsi="Arial" w:cs="Arial"/>
              </w:rPr>
              <w:t>L</w:t>
            </w:r>
            <w:r w:rsidRPr="008925CE">
              <w:rPr>
                <w:rFonts w:ascii="Arial" w:hAnsi="Arial" w:cs="Arial"/>
              </w:rPr>
              <w:t>andscaping/</w:t>
            </w:r>
            <w:r w:rsidR="00311130">
              <w:rPr>
                <w:rFonts w:ascii="Arial" w:hAnsi="Arial" w:cs="Arial"/>
              </w:rPr>
              <w:t xml:space="preserve"> </w:t>
            </w:r>
            <w:r w:rsidRPr="008925CE">
              <w:rPr>
                <w:rFonts w:ascii="Arial" w:hAnsi="Arial" w:cs="Arial"/>
              </w:rPr>
              <w:t xml:space="preserve">Part One claims) </w:t>
            </w:r>
          </w:p>
        </w:tc>
        <w:tc>
          <w:tcPr>
            <w:tcW w:w="2266" w:type="dxa"/>
          </w:tcPr>
          <w:p w14:paraId="1A65222A" w14:textId="44B227B2" w:rsidR="00B75C24" w:rsidRPr="008925CE" w:rsidRDefault="00B75C24" w:rsidP="00311130">
            <w:pPr>
              <w:tabs>
                <w:tab w:val="left" w:pos="567"/>
              </w:tabs>
              <w:spacing w:after="0"/>
              <w:jc w:val="left"/>
              <w:rPr>
                <w:rFonts w:ascii="Arial" w:hAnsi="Arial" w:cs="Arial"/>
              </w:rPr>
            </w:pPr>
            <w:r w:rsidRPr="008925CE">
              <w:rPr>
                <w:rFonts w:ascii="Arial" w:hAnsi="Arial" w:cs="Arial"/>
              </w:rPr>
              <w:t>4.274</w:t>
            </w:r>
          </w:p>
          <w:p w14:paraId="34DC6C5E" w14:textId="01A9A5E5" w:rsidR="00B75C24" w:rsidRPr="008925CE" w:rsidRDefault="00B75C24" w:rsidP="00311130">
            <w:pPr>
              <w:tabs>
                <w:tab w:val="left" w:pos="567"/>
              </w:tabs>
              <w:spacing w:after="0"/>
              <w:jc w:val="left"/>
              <w:rPr>
                <w:rFonts w:ascii="Arial" w:hAnsi="Arial" w:cs="Arial"/>
              </w:rPr>
            </w:pPr>
            <w:r w:rsidRPr="008925CE">
              <w:rPr>
                <w:rFonts w:ascii="Arial" w:hAnsi="Arial" w:cs="Arial"/>
              </w:rPr>
              <w:t>2.790 in 2018-19</w:t>
            </w:r>
          </w:p>
          <w:p w14:paraId="07361417" w14:textId="7EA8CC33" w:rsidR="00B75C24" w:rsidRPr="008925CE" w:rsidRDefault="00B75C24" w:rsidP="00311130">
            <w:pPr>
              <w:tabs>
                <w:tab w:val="left" w:pos="567"/>
              </w:tabs>
              <w:spacing w:after="0"/>
              <w:jc w:val="left"/>
              <w:rPr>
                <w:rFonts w:ascii="Arial" w:hAnsi="Arial" w:cs="Arial"/>
              </w:rPr>
            </w:pPr>
            <w:r w:rsidRPr="008925CE">
              <w:rPr>
                <w:rFonts w:ascii="Arial" w:hAnsi="Arial" w:cs="Arial"/>
              </w:rPr>
              <w:t>0.780 in 2019-20</w:t>
            </w:r>
          </w:p>
          <w:p w14:paraId="40AD63D6" w14:textId="2CAEC4ED" w:rsidR="00B75C24" w:rsidRPr="008925CE" w:rsidRDefault="00B75C24" w:rsidP="00311130">
            <w:pPr>
              <w:tabs>
                <w:tab w:val="left" w:pos="567"/>
              </w:tabs>
              <w:spacing w:after="0"/>
              <w:jc w:val="left"/>
              <w:rPr>
                <w:rFonts w:ascii="Arial" w:hAnsi="Arial" w:cs="Arial"/>
              </w:rPr>
            </w:pPr>
            <w:r w:rsidRPr="008925CE">
              <w:rPr>
                <w:rFonts w:ascii="Arial" w:hAnsi="Arial" w:cs="Arial"/>
              </w:rPr>
              <w:t>0.352 in 2020-21</w:t>
            </w:r>
          </w:p>
          <w:p w14:paraId="56DBEC65" w14:textId="47C59070" w:rsidR="00B75C24" w:rsidRPr="008925CE" w:rsidRDefault="00B75C24" w:rsidP="00311130">
            <w:pPr>
              <w:tabs>
                <w:tab w:val="left" w:pos="567"/>
              </w:tabs>
              <w:spacing w:after="0"/>
              <w:jc w:val="left"/>
              <w:rPr>
                <w:rFonts w:ascii="Arial" w:hAnsi="Arial" w:cs="Arial"/>
              </w:rPr>
            </w:pPr>
            <w:r w:rsidRPr="008925CE">
              <w:rPr>
                <w:rFonts w:ascii="Arial" w:hAnsi="Arial" w:cs="Arial"/>
              </w:rPr>
              <w:t>0.352 in 2021-22</w:t>
            </w:r>
          </w:p>
        </w:tc>
        <w:tc>
          <w:tcPr>
            <w:tcW w:w="8647" w:type="dxa"/>
          </w:tcPr>
          <w:p w14:paraId="4E08CEDC" w14:textId="3C16BFA1" w:rsidR="00B75C24" w:rsidRPr="008925CE" w:rsidRDefault="00B75C24" w:rsidP="00311130">
            <w:pPr>
              <w:tabs>
                <w:tab w:val="left" w:pos="567"/>
              </w:tabs>
              <w:spacing w:after="0"/>
              <w:rPr>
                <w:rFonts w:ascii="Arial" w:hAnsi="Arial" w:cs="Arial"/>
              </w:rPr>
            </w:pPr>
            <w:r w:rsidRPr="008925CE">
              <w:rPr>
                <w:rFonts w:ascii="Arial" w:hAnsi="Arial" w:cs="Arial"/>
              </w:rPr>
              <w:t>In October 2016 this project was allocated an additional £9.9 million with approval to increase the budget by a further £5 million should the mitigation of risks not be realised.</w:t>
            </w:r>
            <w:r w:rsidR="00311130">
              <w:rPr>
                <w:rFonts w:ascii="Arial" w:hAnsi="Arial" w:cs="Arial"/>
              </w:rPr>
              <w:t xml:space="preserve"> </w:t>
            </w:r>
            <w:r w:rsidRPr="008925CE">
              <w:rPr>
                <w:rFonts w:ascii="Arial" w:hAnsi="Arial" w:cs="Arial"/>
              </w:rPr>
              <w:t xml:space="preserve"> Current projections are that an additional £4.274 million will be required to complete the project including the funding of landscaping, Part One claims and settling the final accounts with the contractor.</w:t>
            </w:r>
          </w:p>
        </w:tc>
      </w:tr>
      <w:tr w:rsidR="00B75C24" w:rsidRPr="008925CE" w14:paraId="3E6C8D1B" w14:textId="77777777" w:rsidTr="00311130">
        <w:tc>
          <w:tcPr>
            <w:tcW w:w="4538" w:type="dxa"/>
            <w:gridSpan w:val="2"/>
          </w:tcPr>
          <w:p w14:paraId="3E591B13" w14:textId="77777777" w:rsidR="00B75C24" w:rsidRPr="008925CE" w:rsidRDefault="00B75C24" w:rsidP="00311130">
            <w:pPr>
              <w:tabs>
                <w:tab w:val="left" w:pos="567"/>
              </w:tabs>
              <w:ind w:right="-613"/>
              <w:jc w:val="left"/>
              <w:rPr>
                <w:rFonts w:ascii="Arial" w:hAnsi="Arial" w:cs="Arial"/>
                <w:b/>
              </w:rPr>
            </w:pPr>
            <w:r w:rsidRPr="008925CE">
              <w:rPr>
                <w:rFonts w:ascii="Arial" w:hAnsi="Arial" w:cs="Arial"/>
                <w:b/>
              </w:rPr>
              <w:t>2018/19 Total</w:t>
            </w:r>
          </w:p>
        </w:tc>
        <w:tc>
          <w:tcPr>
            <w:tcW w:w="2266" w:type="dxa"/>
          </w:tcPr>
          <w:p w14:paraId="7B7072AD" w14:textId="0142F873" w:rsidR="00B75C24" w:rsidRPr="008925CE" w:rsidRDefault="00B75C24" w:rsidP="00311130">
            <w:pPr>
              <w:tabs>
                <w:tab w:val="left" w:pos="567"/>
              </w:tabs>
              <w:ind w:right="175"/>
              <w:jc w:val="right"/>
              <w:rPr>
                <w:rFonts w:ascii="Arial" w:hAnsi="Arial" w:cs="Arial"/>
                <w:b/>
              </w:rPr>
            </w:pPr>
            <w:r w:rsidRPr="008925CE">
              <w:rPr>
                <w:rFonts w:ascii="Arial" w:hAnsi="Arial" w:cs="Arial"/>
                <w:b/>
              </w:rPr>
              <w:t>4.175</w:t>
            </w:r>
          </w:p>
        </w:tc>
        <w:tc>
          <w:tcPr>
            <w:tcW w:w="8647" w:type="dxa"/>
          </w:tcPr>
          <w:p w14:paraId="23EC61B1" w14:textId="77777777" w:rsidR="00B75C24" w:rsidRPr="008925CE" w:rsidRDefault="00B75C24" w:rsidP="00311130">
            <w:pPr>
              <w:tabs>
                <w:tab w:val="left" w:pos="567"/>
              </w:tabs>
              <w:ind w:right="-613"/>
              <w:jc w:val="left"/>
              <w:rPr>
                <w:rFonts w:ascii="Arial" w:hAnsi="Arial" w:cs="Arial"/>
              </w:rPr>
            </w:pPr>
          </w:p>
        </w:tc>
      </w:tr>
    </w:tbl>
    <w:p w14:paraId="656E1B6C" w14:textId="77777777" w:rsidR="00B75C24" w:rsidRPr="008925CE" w:rsidRDefault="00B75C24" w:rsidP="00B75C24">
      <w:pPr>
        <w:tabs>
          <w:tab w:val="left" w:pos="567"/>
        </w:tabs>
        <w:spacing w:after="0"/>
        <w:ind w:right="-613"/>
        <w:rPr>
          <w:rFonts w:cs="Arial"/>
        </w:rPr>
      </w:pPr>
    </w:p>
    <w:p w14:paraId="493464AA" w14:textId="77777777" w:rsidR="00F835B2" w:rsidRDefault="00F835B2">
      <w:pPr>
        <w:autoSpaceDE/>
        <w:autoSpaceDN/>
        <w:adjustRightInd/>
        <w:spacing w:after="0"/>
        <w:jc w:val="left"/>
        <w:rPr>
          <w:rFonts w:cs="Arial"/>
          <w:b/>
        </w:rPr>
      </w:pPr>
      <w:r>
        <w:rPr>
          <w:rFonts w:cs="Arial"/>
          <w:b/>
        </w:rPr>
        <w:br w:type="page"/>
      </w:r>
    </w:p>
    <w:p w14:paraId="7476FFB4" w14:textId="78E1ED93" w:rsidR="00B75C24" w:rsidRPr="008925CE" w:rsidRDefault="00073097" w:rsidP="00B75C24">
      <w:pPr>
        <w:tabs>
          <w:tab w:val="left" w:pos="567"/>
        </w:tabs>
        <w:spacing w:after="0"/>
        <w:ind w:right="-613"/>
        <w:rPr>
          <w:rFonts w:cs="Arial"/>
        </w:rPr>
      </w:pPr>
      <w:r>
        <w:rPr>
          <w:rFonts w:cs="Arial"/>
          <w:b/>
        </w:rPr>
        <w:lastRenderedPageBreak/>
        <w:t>Table 6</w:t>
      </w:r>
      <w:r w:rsidR="00B75C24" w:rsidRPr="008925CE">
        <w:rPr>
          <w:rFonts w:cs="Arial"/>
        </w:rPr>
        <w:t xml:space="preserve"> - </w:t>
      </w:r>
      <w:r w:rsidR="00B75C24" w:rsidRPr="008925CE">
        <w:rPr>
          <w:rFonts w:cs="Arial"/>
          <w:b/>
        </w:rPr>
        <w:t>Proposed continuation of annual programmes of work in 2018-19</w:t>
      </w:r>
    </w:p>
    <w:p w14:paraId="143C9FD1" w14:textId="77777777" w:rsidR="00B75C24" w:rsidRPr="008925CE" w:rsidRDefault="00B75C24" w:rsidP="00B75C24">
      <w:pPr>
        <w:tabs>
          <w:tab w:val="left" w:pos="567"/>
        </w:tabs>
        <w:spacing w:after="0"/>
        <w:ind w:right="-613"/>
        <w:rPr>
          <w:rFonts w:cs="Arial"/>
        </w:rPr>
      </w:pPr>
    </w:p>
    <w:tbl>
      <w:tblPr>
        <w:tblStyle w:val="TableGrid3"/>
        <w:tblW w:w="14600" w:type="dxa"/>
        <w:tblInd w:w="137" w:type="dxa"/>
        <w:tblLayout w:type="fixed"/>
        <w:tblLook w:val="04A0" w:firstRow="1" w:lastRow="0" w:firstColumn="1" w:lastColumn="0" w:noHBand="0" w:noVBand="1"/>
      </w:tblPr>
      <w:tblGrid>
        <w:gridCol w:w="1843"/>
        <w:gridCol w:w="4252"/>
        <w:gridCol w:w="1701"/>
        <w:gridCol w:w="6804"/>
      </w:tblGrid>
      <w:tr w:rsidR="00B75C24" w:rsidRPr="008925CE" w14:paraId="36C44D38" w14:textId="77777777" w:rsidTr="00F835B2">
        <w:trPr>
          <w:tblHeader/>
        </w:trPr>
        <w:tc>
          <w:tcPr>
            <w:tcW w:w="1843" w:type="dxa"/>
            <w:shd w:val="clear" w:color="auto" w:fill="D9D9D9" w:themeFill="background1" w:themeFillShade="D9"/>
          </w:tcPr>
          <w:p w14:paraId="74CBDF7A" w14:textId="77777777" w:rsidR="00B75C24" w:rsidRPr="008925CE" w:rsidRDefault="00B75C24" w:rsidP="009D6093">
            <w:pPr>
              <w:tabs>
                <w:tab w:val="left" w:pos="567"/>
              </w:tabs>
              <w:spacing w:after="0"/>
              <w:ind w:right="176"/>
              <w:rPr>
                <w:rFonts w:ascii="Arial" w:hAnsi="Arial" w:cs="Arial"/>
                <w:b/>
              </w:rPr>
            </w:pPr>
            <w:r w:rsidRPr="008925CE">
              <w:rPr>
                <w:rFonts w:ascii="Arial" w:hAnsi="Arial" w:cs="Arial"/>
                <w:b/>
              </w:rPr>
              <w:t>Project Name</w:t>
            </w:r>
          </w:p>
        </w:tc>
        <w:tc>
          <w:tcPr>
            <w:tcW w:w="4252" w:type="dxa"/>
            <w:shd w:val="clear" w:color="auto" w:fill="D9D9D9" w:themeFill="background1" w:themeFillShade="D9"/>
          </w:tcPr>
          <w:p w14:paraId="4C494142" w14:textId="77777777" w:rsidR="00B75C24" w:rsidRPr="008925CE" w:rsidRDefault="00B75C24" w:rsidP="009D6093">
            <w:pPr>
              <w:tabs>
                <w:tab w:val="left" w:pos="567"/>
              </w:tabs>
              <w:spacing w:after="0"/>
              <w:ind w:right="-613"/>
              <w:rPr>
                <w:rFonts w:ascii="Arial" w:hAnsi="Arial" w:cs="Arial"/>
                <w:b/>
              </w:rPr>
            </w:pPr>
            <w:r w:rsidRPr="008925CE">
              <w:rPr>
                <w:rFonts w:ascii="Arial" w:hAnsi="Arial" w:cs="Arial"/>
                <w:b/>
              </w:rPr>
              <w:t>Project Description</w:t>
            </w:r>
          </w:p>
        </w:tc>
        <w:tc>
          <w:tcPr>
            <w:tcW w:w="1701" w:type="dxa"/>
            <w:shd w:val="clear" w:color="auto" w:fill="D9D9D9" w:themeFill="background1" w:themeFillShade="D9"/>
          </w:tcPr>
          <w:p w14:paraId="5DE6513B" w14:textId="77777777" w:rsidR="009D6093" w:rsidRDefault="00B75C24" w:rsidP="009D6093">
            <w:pPr>
              <w:tabs>
                <w:tab w:val="left" w:pos="567"/>
              </w:tabs>
              <w:spacing w:after="0"/>
              <w:ind w:right="33"/>
              <w:rPr>
                <w:rFonts w:ascii="Arial" w:hAnsi="Arial" w:cs="Arial"/>
                <w:b/>
              </w:rPr>
            </w:pPr>
            <w:r w:rsidRPr="008925CE">
              <w:rPr>
                <w:rFonts w:ascii="Arial" w:hAnsi="Arial" w:cs="Arial"/>
                <w:b/>
              </w:rPr>
              <w:t xml:space="preserve">Forecast Budget Required </w:t>
            </w:r>
          </w:p>
          <w:p w14:paraId="31595738" w14:textId="67C73BC1" w:rsidR="00B75C24" w:rsidRPr="008925CE" w:rsidRDefault="00B75C24" w:rsidP="009D6093">
            <w:pPr>
              <w:tabs>
                <w:tab w:val="left" w:pos="567"/>
              </w:tabs>
              <w:spacing w:after="0"/>
              <w:ind w:right="175"/>
              <w:jc w:val="right"/>
              <w:rPr>
                <w:rFonts w:ascii="Arial" w:hAnsi="Arial" w:cs="Arial"/>
                <w:b/>
              </w:rPr>
            </w:pPr>
            <w:r w:rsidRPr="008925CE">
              <w:rPr>
                <w:rFonts w:ascii="Arial" w:hAnsi="Arial" w:cs="Arial"/>
                <w:b/>
              </w:rPr>
              <w:t>(£m)</w:t>
            </w:r>
          </w:p>
        </w:tc>
        <w:tc>
          <w:tcPr>
            <w:tcW w:w="6804" w:type="dxa"/>
            <w:shd w:val="clear" w:color="auto" w:fill="D9D9D9" w:themeFill="background1" w:themeFillShade="D9"/>
          </w:tcPr>
          <w:p w14:paraId="4B73DBCE" w14:textId="77777777" w:rsidR="00B75C24" w:rsidRPr="008925CE" w:rsidRDefault="00B75C24" w:rsidP="009D6093">
            <w:pPr>
              <w:tabs>
                <w:tab w:val="left" w:pos="567"/>
              </w:tabs>
              <w:spacing w:after="0"/>
              <w:ind w:right="-613"/>
              <w:rPr>
                <w:rFonts w:ascii="Arial" w:hAnsi="Arial" w:cs="Arial"/>
                <w:b/>
              </w:rPr>
            </w:pPr>
            <w:r w:rsidRPr="008925CE">
              <w:rPr>
                <w:rFonts w:ascii="Arial" w:hAnsi="Arial" w:cs="Arial"/>
                <w:b/>
              </w:rPr>
              <w:t>Justification</w:t>
            </w:r>
          </w:p>
        </w:tc>
      </w:tr>
      <w:tr w:rsidR="00B75C24" w:rsidRPr="008925CE" w14:paraId="47E072FC" w14:textId="77777777" w:rsidTr="00F835B2">
        <w:tc>
          <w:tcPr>
            <w:tcW w:w="1843" w:type="dxa"/>
          </w:tcPr>
          <w:p w14:paraId="23D33FF4" w14:textId="77777777" w:rsidR="00B75C24" w:rsidRPr="008925CE" w:rsidRDefault="00B75C24" w:rsidP="00F835B2">
            <w:pPr>
              <w:tabs>
                <w:tab w:val="left" w:pos="567"/>
              </w:tabs>
              <w:spacing w:after="0"/>
              <w:ind w:right="176"/>
              <w:jc w:val="left"/>
              <w:rPr>
                <w:rFonts w:ascii="Arial" w:hAnsi="Arial" w:cs="Arial"/>
              </w:rPr>
            </w:pPr>
            <w:r w:rsidRPr="008925CE">
              <w:rPr>
                <w:rFonts w:ascii="Arial" w:hAnsi="Arial" w:cs="Arial"/>
              </w:rPr>
              <w:t>City Deal</w:t>
            </w:r>
          </w:p>
        </w:tc>
        <w:tc>
          <w:tcPr>
            <w:tcW w:w="4252" w:type="dxa"/>
          </w:tcPr>
          <w:p w14:paraId="7A49289D" w14:textId="77777777" w:rsidR="00B75C24" w:rsidRPr="008925CE" w:rsidRDefault="00B75C24" w:rsidP="00F835B2">
            <w:pPr>
              <w:tabs>
                <w:tab w:val="left" w:pos="567"/>
              </w:tabs>
              <w:spacing w:after="0"/>
              <w:ind w:right="33"/>
              <w:jc w:val="left"/>
              <w:rPr>
                <w:rFonts w:ascii="Arial" w:hAnsi="Arial" w:cs="Arial"/>
              </w:rPr>
            </w:pPr>
            <w:r w:rsidRPr="008925CE">
              <w:rPr>
                <w:rFonts w:ascii="Arial" w:hAnsi="Arial" w:cs="Arial"/>
              </w:rPr>
              <w:t>Annual Contribution to City Deal</w:t>
            </w:r>
          </w:p>
        </w:tc>
        <w:tc>
          <w:tcPr>
            <w:tcW w:w="1701" w:type="dxa"/>
          </w:tcPr>
          <w:p w14:paraId="63A7F8FB" w14:textId="702F3565" w:rsidR="00B75C24" w:rsidRPr="008925CE" w:rsidRDefault="00B75C24" w:rsidP="00F835B2">
            <w:pPr>
              <w:spacing w:after="0"/>
              <w:ind w:right="175"/>
              <w:jc w:val="right"/>
              <w:rPr>
                <w:rFonts w:ascii="Arial" w:hAnsi="Arial" w:cs="Arial"/>
              </w:rPr>
            </w:pPr>
            <w:r w:rsidRPr="008925CE">
              <w:rPr>
                <w:rFonts w:ascii="Arial" w:hAnsi="Arial" w:cs="Arial"/>
              </w:rPr>
              <w:t>3.000</w:t>
            </w:r>
          </w:p>
        </w:tc>
        <w:tc>
          <w:tcPr>
            <w:tcW w:w="6804" w:type="dxa"/>
          </w:tcPr>
          <w:p w14:paraId="3E07AF64" w14:textId="76F2F8DA" w:rsidR="00B75C24" w:rsidRPr="008925CE" w:rsidRDefault="00B75C24" w:rsidP="009D6093">
            <w:pPr>
              <w:tabs>
                <w:tab w:val="left" w:pos="567"/>
              </w:tabs>
              <w:spacing w:after="0"/>
              <w:ind w:right="33"/>
              <w:rPr>
                <w:rFonts w:ascii="Arial" w:hAnsi="Arial" w:cs="Arial"/>
                <w:color w:val="FF0000"/>
              </w:rPr>
            </w:pPr>
            <w:r w:rsidRPr="008925CE">
              <w:rPr>
                <w:rFonts w:ascii="Arial" w:hAnsi="Arial" w:cs="Arial"/>
              </w:rPr>
              <w:t xml:space="preserve">The £3.000m is made up of the £2.5m annual LCC contribution into the wider City Deal project to support transport projects and an additional £0.500m for Preston Bus Station. </w:t>
            </w:r>
            <w:r w:rsidR="00F835B2">
              <w:rPr>
                <w:rFonts w:ascii="Arial" w:hAnsi="Arial" w:cs="Arial"/>
              </w:rPr>
              <w:t xml:space="preserve"> </w:t>
            </w:r>
            <w:r w:rsidRPr="008925CE">
              <w:rPr>
                <w:rFonts w:ascii="Arial" w:hAnsi="Arial" w:cs="Arial"/>
              </w:rPr>
              <w:t>During the repairing and refurbishment it has been necessary to undertake a number of additional works that are beyond the original scope and have been identified as b</w:t>
            </w:r>
            <w:r>
              <w:rPr>
                <w:rFonts w:ascii="Arial" w:hAnsi="Arial" w:cs="Arial"/>
              </w:rPr>
              <w:t xml:space="preserve">eing essential through surveys. </w:t>
            </w:r>
            <w:r w:rsidRPr="008925CE">
              <w:rPr>
                <w:rFonts w:ascii="Arial" w:hAnsi="Arial" w:cs="Arial"/>
              </w:rPr>
              <w:t xml:space="preserve"> This work will include; subway infills, replacement on a ‘like for like’ basis of the ramp bearings, repairs to the flying walkways and ensuring that the approach to fire risk is more robust (in response to the Grenfell Fire on the 14</w:t>
            </w:r>
            <w:r w:rsidRPr="008925CE">
              <w:rPr>
                <w:rFonts w:ascii="Arial" w:hAnsi="Arial" w:cs="Arial"/>
                <w:vertAlign w:val="superscript"/>
              </w:rPr>
              <w:t>th</w:t>
            </w:r>
            <w:r w:rsidRPr="008925CE">
              <w:rPr>
                <w:rFonts w:ascii="Arial" w:hAnsi="Arial" w:cs="Arial"/>
              </w:rPr>
              <w:t xml:space="preserve"> June).</w:t>
            </w:r>
          </w:p>
        </w:tc>
      </w:tr>
      <w:tr w:rsidR="00B75C24" w:rsidRPr="008925CE" w14:paraId="27E722B5" w14:textId="77777777" w:rsidTr="00F835B2">
        <w:tc>
          <w:tcPr>
            <w:tcW w:w="1843" w:type="dxa"/>
          </w:tcPr>
          <w:p w14:paraId="08A7F75B" w14:textId="77777777" w:rsidR="00B75C24" w:rsidRPr="008925CE" w:rsidRDefault="00B75C24" w:rsidP="00F835B2">
            <w:pPr>
              <w:tabs>
                <w:tab w:val="left" w:pos="567"/>
              </w:tabs>
              <w:spacing w:after="0"/>
              <w:ind w:right="176"/>
              <w:jc w:val="left"/>
              <w:rPr>
                <w:rFonts w:ascii="Arial" w:hAnsi="Arial" w:cs="Arial"/>
              </w:rPr>
            </w:pPr>
            <w:r w:rsidRPr="008925CE">
              <w:rPr>
                <w:rFonts w:ascii="Arial" w:hAnsi="Arial" w:cs="Arial"/>
              </w:rPr>
              <w:t>2018/19 Road Safety</w:t>
            </w:r>
          </w:p>
        </w:tc>
        <w:tc>
          <w:tcPr>
            <w:tcW w:w="4252" w:type="dxa"/>
          </w:tcPr>
          <w:p w14:paraId="2EC90E50" w14:textId="77777777" w:rsidR="00B75C24" w:rsidRPr="008925CE" w:rsidRDefault="00B75C24" w:rsidP="00F835B2">
            <w:pPr>
              <w:tabs>
                <w:tab w:val="left" w:pos="567"/>
              </w:tabs>
              <w:spacing w:after="0"/>
              <w:ind w:right="33"/>
              <w:jc w:val="left"/>
              <w:rPr>
                <w:rFonts w:ascii="Arial" w:hAnsi="Arial" w:cs="Arial"/>
              </w:rPr>
            </w:pPr>
            <w:r w:rsidRPr="008925CE">
              <w:rPr>
                <w:rFonts w:ascii="Arial" w:hAnsi="Arial" w:cs="Arial"/>
              </w:rPr>
              <w:t>Design and delivery of projects, identified through analysis of collision data to reduce the occurrence of road accidents.</w:t>
            </w:r>
          </w:p>
        </w:tc>
        <w:tc>
          <w:tcPr>
            <w:tcW w:w="1701" w:type="dxa"/>
          </w:tcPr>
          <w:p w14:paraId="7236EC00" w14:textId="5E2060E5" w:rsidR="00B75C24" w:rsidRPr="008925CE" w:rsidRDefault="00B75C24" w:rsidP="00F835B2">
            <w:pPr>
              <w:spacing w:after="0"/>
              <w:ind w:right="175"/>
              <w:jc w:val="right"/>
              <w:rPr>
                <w:rFonts w:ascii="Arial" w:hAnsi="Arial" w:cs="Arial"/>
              </w:rPr>
            </w:pPr>
            <w:r w:rsidRPr="008925CE">
              <w:rPr>
                <w:rFonts w:ascii="Arial" w:hAnsi="Arial" w:cs="Arial"/>
              </w:rPr>
              <w:t>0.500</w:t>
            </w:r>
          </w:p>
        </w:tc>
        <w:tc>
          <w:tcPr>
            <w:tcW w:w="6804" w:type="dxa"/>
          </w:tcPr>
          <w:p w14:paraId="4008AD24" w14:textId="77777777" w:rsidR="00B75C24" w:rsidRPr="008925CE" w:rsidRDefault="00B75C24" w:rsidP="00F835B2">
            <w:pPr>
              <w:tabs>
                <w:tab w:val="left" w:pos="567"/>
              </w:tabs>
              <w:spacing w:after="0"/>
              <w:ind w:right="33"/>
              <w:rPr>
                <w:rFonts w:ascii="Arial" w:hAnsi="Arial" w:cs="Arial"/>
              </w:rPr>
            </w:pPr>
            <w:r w:rsidRPr="008925CE">
              <w:rPr>
                <w:rFonts w:ascii="Arial" w:hAnsi="Arial" w:cs="Arial"/>
              </w:rPr>
              <w:t>As a highway authority the county council has a statutory duty to implement engineering solutions to improve the safety of the highway network</w:t>
            </w:r>
          </w:p>
        </w:tc>
      </w:tr>
      <w:tr w:rsidR="00B75C24" w:rsidRPr="008925CE" w14:paraId="2A1D5018" w14:textId="77777777" w:rsidTr="00F835B2">
        <w:tc>
          <w:tcPr>
            <w:tcW w:w="1843" w:type="dxa"/>
          </w:tcPr>
          <w:p w14:paraId="692B516B" w14:textId="77777777" w:rsidR="00B75C24" w:rsidRPr="008925CE" w:rsidRDefault="00B75C24" w:rsidP="00F835B2">
            <w:pPr>
              <w:tabs>
                <w:tab w:val="left" w:pos="567"/>
              </w:tabs>
              <w:spacing w:after="0"/>
              <w:ind w:right="176"/>
              <w:jc w:val="left"/>
              <w:rPr>
                <w:rFonts w:ascii="Arial" w:hAnsi="Arial" w:cs="Arial"/>
              </w:rPr>
            </w:pPr>
            <w:r w:rsidRPr="008925CE">
              <w:rPr>
                <w:rFonts w:ascii="Arial" w:hAnsi="Arial" w:cs="Arial"/>
              </w:rPr>
              <w:t>2018/19 Cycle Safety</w:t>
            </w:r>
          </w:p>
        </w:tc>
        <w:tc>
          <w:tcPr>
            <w:tcW w:w="4252" w:type="dxa"/>
          </w:tcPr>
          <w:p w14:paraId="3DDF63A4" w14:textId="03DCB25F" w:rsidR="00B75C24" w:rsidRPr="008925CE" w:rsidRDefault="00B75C24" w:rsidP="00F835B2">
            <w:pPr>
              <w:tabs>
                <w:tab w:val="left" w:pos="567"/>
              </w:tabs>
              <w:spacing w:after="0"/>
              <w:ind w:right="33"/>
              <w:jc w:val="left"/>
              <w:rPr>
                <w:rFonts w:ascii="Arial" w:hAnsi="Arial" w:cs="Arial"/>
              </w:rPr>
            </w:pPr>
            <w:r w:rsidRPr="008925CE">
              <w:rPr>
                <w:rFonts w:ascii="Arial" w:hAnsi="Arial" w:cs="Arial"/>
              </w:rPr>
              <w:t>Design and delivery of projects, identified through analysis of collision data to reduce the occurrence of road accidents involving cyclist</w:t>
            </w:r>
            <w:r w:rsidR="00073097">
              <w:rPr>
                <w:rFonts w:ascii="Arial" w:hAnsi="Arial" w:cs="Arial"/>
              </w:rPr>
              <w:t>s</w:t>
            </w:r>
            <w:r w:rsidRPr="008925CE">
              <w:rPr>
                <w:rFonts w:ascii="Arial" w:hAnsi="Arial" w:cs="Arial"/>
              </w:rPr>
              <w:t>.</w:t>
            </w:r>
          </w:p>
        </w:tc>
        <w:tc>
          <w:tcPr>
            <w:tcW w:w="1701" w:type="dxa"/>
          </w:tcPr>
          <w:p w14:paraId="3DFE6864" w14:textId="1B321F1D" w:rsidR="00B75C24" w:rsidRPr="008925CE" w:rsidRDefault="00B75C24" w:rsidP="00F835B2">
            <w:pPr>
              <w:spacing w:after="0"/>
              <w:ind w:right="175"/>
              <w:jc w:val="right"/>
              <w:rPr>
                <w:rFonts w:ascii="Arial" w:hAnsi="Arial" w:cs="Arial"/>
              </w:rPr>
            </w:pPr>
            <w:r w:rsidRPr="008925CE">
              <w:rPr>
                <w:rFonts w:ascii="Arial" w:hAnsi="Arial" w:cs="Arial"/>
              </w:rPr>
              <w:t>0.500</w:t>
            </w:r>
          </w:p>
        </w:tc>
        <w:tc>
          <w:tcPr>
            <w:tcW w:w="6804" w:type="dxa"/>
            <w:shd w:val="clear" w:color="auto" w:fill="FFFFFF" w:themeFill="background1"/>
          </w:tcPr>
          <w:p w14:paraId="63F787B0" w14:textId="77777777" w:rsidR="00B75C24" w:rsidRPr="008925CE" w:rsidRDefault="00B75C24" w:rsidP="00F835B2">
            <w:pPr>
              <w:tabs>
                <w:tab w:val="left" w:pos="567"/>
              </w:tabs>
              <w:spacing w:after="0"/>
              <w:ind w:right="33"/>
              <w:rPr>
                <w:rFonts w:ascii="Arial" w:hAnsi="Arial" w:cs="Arial"/>
              </w:rPr>
            </w:pPr>
            <w:r w:rsidRPr="008925CE">
              <w:rPr>
                <w:rFonts w:ascii="Arial" w:hAnsi="Arial" w:cs="Arial"/>
              </w:rPr>
              <w:t>This is an annual allocation to specifically reduce cycling casualties</w:t>
            </w:r>
            <w:r>
              <w:rPr>
                <w:rFonts w:ascii="Arial" w:hAnsi="Arial" w:cs="Arial"/>
              </w:rPr>
              <w:t xml:space="preserve"> and address wider objectives including perception of safety</w:t>
            </w:r>
            <w:r w:rsidRPr="008925CE">
              <w:rPr>
                <w:rFonts w:ascii="Arial" w:hAnsi="Arial" w:cs="Arial"/>
              </w:rPr>
              <w:t xml:space="preserve"> </w:t>
            </w:r>
          </w:p>
        </w:tc>
      </w:tr>
      <w:tr w:rsidR="00B75C24" w:rsidRPr="008925CE" w14:paraId="538A3C42" w14:textId="77777777" w:rsidTr="00F835B2">
        <w:tc>
          <w:tcPr>
            <w:tcW w:w="1843" w:type="dxa"/>
          </w:tcPr>
          <w:p w14:paraId="41966470" w14:textId="77777777" w:rsidR="00B75C24" w:rsidRPr="008925CE" w:rsidRDefault="00B75C24" w:rsidP="00F835B2">
            <w:pPr>
              <w:tabs>
                <w:tab w:val="left" w:pos="567"/>
              </w:tabs>
              <w:spacing w:after="0"/>
              <w:ind w:right="176"/>
              <w:jc w:val="left"/>
              <w:rPr>
                <w:rFonts w:ascii="Arial" w:hAnsi="Arial" w:cs="Arial"/>
              </w:rPr>
            </w:pPr>
            <w:r w:rsidRPr="008925CE">
              <w:rPr>
                <w:rFonts w:ascii="Arial" w:hAnsi="Arial" w:cs="Arial"/>
              </w:rPr>
              <w:t>2018/19 Public Rights Of Way (PROW)</w:t>
            </w:r>
          </w:p>
        </w:tc>
        <w:tc>
          <w:tcPr>
            <w:tcW w:w="4252" w:type="dxa"/>
          </w:tcPr>
          <w:p w14:paraId="4197ED9C" w14:textId="77777777" w:rsidR="00B75C24" w:rsidRPr="008925CE" w:rsidRDefault="00B75C24" w:rsidP="00F835B2">
            <w:pPr>
              <w:tabs>
                <w:tab w:val="left" w:pos="567"/>
              </w:tabs>
              <w:spacing w:after="0"/>
              <w:ind w:right="33"/>
              <w:jc w:val="left"/>
              <w:rPr>
                <w:rFonts w:ascii="Arial" w:hAnsi="Arial" w:cs="Arial"/>
              </w:rPr>
            </w:pPr>
            <w:r w:rsidRPr="008925CE">
              <w:rPr>
                <w:rFonts w:ascii="Arial" w:hAnsi="Arial" w:cs="Arial"/>
              </w:rPr>
              <w:t>A programme of work addressing issues with our PROW network in urban areas.</w:t>
            </w:r>
          </w:p>
        </w:tc>
        <w:tc>
          <w:tcPr>
            <w:tcW w:w="1701" w:type="dxa"/>
          </w:tcPr>
          <w:p w14:paraId="7C835A1A" w14:textId="6CE060EB" w:rsidR="00B75C24" w:rsidRPr="008925CE" w:rsidRDefault="00B75C24" w:rsidP="00F835B2">
            <w:pPr>
              <w:spacing w:after="0"/>
              <w:ind w:right="175"/>
              <w:jc w:val="right"/>
              <w:rPr>
                <w:rFonts w:ascii="Arial" w:hAnsi="Arial" w:cs="Arial"/>
              </w:rPr>
            </w:pPr>
            <w:r w:rsidRPr="008925CE">
              <w:rPr>
                <w:rFonts w:ascii="Arial" w:hAnsi="Arial" w:cs="Arial"/>
              </w:rPr>
              <w:t>0.250</w:t>
            </w:r>
          </w:p>
        </w:tc>
        <w:tc>
          <w:tcPr>
            <w:tcW w:w="6804" w:type="dxa"/>
          </w:tcPr>
          <w:p w14:paraId="56248EE1" w14:textId="77777777" w:rsidR="00B75C24" w:rsidRPr="008925CE" w:rsidRDefault="00B75C24" w:rsidP="00F835B2">
            <w:pPr>
              <w:tabs>
                <w:tab w:val="left" w:pos="567"/>
              </w:tabs>
              <w:spacing w:after="0"/>
              <w:ind w:right="33"/>
              <w:rPr>
                <w:rFonts w:ascii="Arial" w:hAnsi="Arial" w:cs="Arial"/>
              </w:rPr>
            </w:pPr>
            <w:r w:rsidRPr="008925CE">
              <w:rPr>
                <w:rFonts w:ascii="Arial" w:hAnsi="Arial" w:cs="Arial"/>
              </w:rPr>
              <w:t xml:space="preserve">This annual allocation aims to improve the PROW network in urban areas, helping to encourage the use of this network as an alternative to vehicles and promoting healthy choices/encouraging exercise. </w:t>
            </w:r>
            <w:r>
              <w:rPr>
                <w:rFonts w:ascii="Arial" w:hAnsi="Arial" w:cs="Arial"/>
              </w:rPr>
              <w:t xml:space="preserve"> </w:t>
            </w:r>
            <w:r w:rsidRPr="008925CE">
              <w:rPr>
                <w:rFonts w:ascii="Arial" w:hAnsi="Arial" w:cs="Arial"/>
              </w:rPr>
              <w:t>This allocation supports the aims of the draft Cycling and Walking Strategy.</w:t>
            </w:r>
          </w:p>
        </w:tc>
      </w:tr>
      <w:tr w:rsidR="00B75C24" w:rsidRPr="008925CE" w14:paraId="2071D517" w14:textId="77777777" w:rsidTr="00F835B2">
        <w:tc>
          <w:tcPr>
            <w:tcW w:w="1843" w:type="dxa"/>
          </w:tcPr>
          <w:p w14:paraId="793686BE" w14:textId="77777777" w:rsidR="00B75C24" w:rsidRPr="008925CE" w:rsidRDefault="00B75C24" w:rsidP="00F835B2">
            <w:pPr>
              <w:tabs>
                <w:tab w:val="left" w:pos="567"/>
              </w:tabs>
              <w:spacing w:after="0"/>
              <w:ind w:right="176"/>
              <w:jc w:val="left"/>
              <w:rPr>
                <w:rFonts w:ascii="Arial" w:hAnsi="Arial" w:cs="Arial"/>
              </w:rPr>
            </w:pPr>
            <w:r w:rsidRPr="008925CE">
              <w:rPr>
                <w:rFonts w:ascii="Arial" w:hAnsi="Arial" w:cs="Arial"/>
              </w:rPr>
              <w:lastRenderedPageBreak/>
              <w:t>2018/19 Bus Stop Compliance</w:t>
            </w:r>
          </w:p>
        </w:tc>
        <w:tc>
          <w:tcPr>
            <w:tcW w:w="4252" w:type="dxa"/>
          </w:tcPr>
          <w:p w14:paraId="3BDC0DE7" w14:textId="77777777" w:rsidR="00B75C24" w:rsidRPr="008925CE" w:rsidRDefault="00B75C24" w:rsidP="00F835B2">
            <w:pPr>
              <w:tabs>
                <w:tab w:val="left" w:pos="567"/>
              </w:tabs>
              <w:spacing w:after="0"/>
              <w:ind w:right="175"/>
              <w:jc w:val="left"/>
              <w:rPr>
                <w:rFonts w:ascii="Arial" w:hAnsi="Arial" w:cs="Arial"/>
              </w:rPr>
            </w:pPr>
            <w:r w:rsidRPr="008925CE">
              <w:rPr>
                <w:rFonts w:ascii="Arial" w:hAnsi="Arial" w:cs="Arial"/>
              </w:rPr>
              <w:t>A programme of improvements at bus stops</w:t>
            </w:r>
          </w:p>
        </w:tc>
        <w:tc>
          <w:tcPr>
            <w:tcW w:w="1701" w:type="dxa"/>
          </w:tcPr>
          <w:p w14:paraId="040E1989" w14:textId="6241A92C" w:rsidR="00B75C24" w:rsidRPr="008925CE" w:rsidRDefault="00B75C24" w:rsidP="00F835B2">
            <w:pPr>
              <w:tabs>
                <w:tab w:val="left" w:pos="567"/>
              </w:tabs>
              <w:spacing w:after="0"/>
              <w:ind w:right="175"/>
              <w:jc w:val="right"/>
              <w:rPr>
                <w:rFonts w:ascii="Arial" w:hAnsi="Arial" w:cs="Arial"/>
              </w:rPr>
            </w:pPr>
            <w:r w:rsidRPr="008925CE">
              <w:rPr>
                <w:rFonts w:ascii="Arial" w:hAnsi="Arial" w:cs="Arial"/>
              </w:rPr>
              <w:t>0.020</w:t>
            </w:r>
          </w:p>
        </w:tc>
        <w:tc>
          <w:tcPr>
            <w:tcW w:w="6804" w:type="dxa"/>
          </w:tcPr>
          <w:p w14:paraId="2BF63C3E" w14:textId="39A5A883" w:rsidR="00B75C24" w:rsidRPr="008925CE" w:rsidRDefault="00B75C24" w:rsidP="00F835B2">
            <w:pPr>
              <w:tabs>
                <w:tab w:val="left" w:pos="567"/>
              </w:tabs>
              <w:spacing w:after="0"/>
              <w:ind w:right="33"/>
              <w:rPr>
                <w:rFonts w:ascii="Arial" w:hAnsi="Arial" w:cs="Arial"/>
              </w:rPr>
            </w:pPr>
            <w:r w:rsidRPr="008925CE">
              <w:rPr>
                <w:rFonts w:ascii="Arial" w:hAnsi="Arial" w:cs="Arial"/>
              </w:rPr>
              <w:t xml:space="preserve">The Equality Act places a statutory duty on the county council to improve the accessibility of public transport, in terms of bus stops. This includes raising kerbs to ensure that boarding a bus is on the same level, reducing the risks for visually impaired people and people with reduced motor skills and </w:t>
            </w:r>
            <w:r w:rsidR="00F835B2">
              <w:rPr>
                <w:rFonts w:ascii="Arial" w:hAnsi="Arial" w:cs="Arial"/>
              </w:rPr>
              <w:br/>
            </w:r>
            <w:r w:rsidRPr="008925CE">
              <w:rPr>
                <w:rFonts w:ascii="Arial" w:hAnsi="Arial" w:cs="Arial"/>
              </w:rPr>
              <w:t>co-ordination and older road users.</w:t>
            </w:r>
          </w:p>
        </w:tc>
      </w:tr>
      <w:tr w:rsidR="00B75C24" w:rsidRPr="008925CE" w14:paraId="7A7CBB4E" w14:textId="77777777" w:rsidTr="00F835B2">
        <w:tc>
          <w:tcPr>
            <w:tcW w:w="6095" w:type="dxa"/>
            <w:gridSpan w:val="2"/>
          </w:tcPr>
          <w:p w14:paraId="4A08A088" w14:textId="77777777" w:rsidR="00B75C24" w:rsidRPr="008925CE" w:rsidRDefault="00B75C24" w:rsidP="00F835B2">
            <w:pPr>
              <w:tabs>
                <w:tab w:val="left" w:pos="567"/>
              </w:tabs>
              <w:spacing w:after="0"/>
              <w:ind w:right="175"/>
              <w:jc w:val="left"/>
              <w:rPr>
                <w:rFonts w:ascii="Arial" w:hAnsi="Arial" w:cs="Arial"/>
                <w:b/>
              </w:rPr>
            </w:pPr>
            <w:r w:rsidRPr="008925CE">
              <w:rPr>
                <w:rFonts w:ascii="Arial" w:hAnsi="Arial" w:cs="Arial"/>
                <w:b/>
              </w:rPr>
              <w:t>Total</w:t>
            </w:r>
          </w:p>
        </w:tc>
        <w:tc>
          <w:tcPr>
            <w:tcW w:w="1701" w:type="dxa"/>
          </w:tcPr>
          <w:p w14:paraId="48035EB1" w14:textId="0C03DF12" w:rsidR="00B75C24" w:rsidRPr="008925CE" w:rsidRDefault="00B75C24" w:rsidP="00F835B2">
            <w:pPr>
              <w:tabs>
                <w:tab w:val="left" w:pos="567"/>
              </w:tabs>
              <w:spacing w:after="0"/>
              <w:ind w:right="175"/>
              <w:jc w:val="right"/>
              <w:rPr>
                <w:rFonts w:ascii="Arial" w:hAnsi="Arial" w:cs="Arial"/>
                <w:b/>
              </w:rPr>
            </w:pPr>
            <w:r w:rsidRPr="008925CE">
              <w:rPr>
                <w:rFonts w:ascii="Arial" w:hAnsi="Arial" w:cs="Arial"/>
                <w:b/>
              </w:rPr>
              <w:t>4.270</w:t>
            </w:r>
          </w:p>
        </w:tc>
        <w:tc>
          <w:tcPr>
            <w:tcW w:w="6804" w:type="dxa"/>
          </w:tcPr>
          <w:p w14:paraId="44548B9C" w14:textId="77777777" w:rsidR="00B75C24" w:rsidRPr="008925CE" w:rsidRDefault="00B75C24" w:rsidP="00F835B2">
            <w:pPr>
              <w:tabs>
                <w:tab w:val="left" w:pos="567"/>
              </w:tabs>
              <w:spacing w:after="0"/>
              <w:ind w:right="33"/>
              <w:jc w:val="left"/>
              <w:rPr>
                <w:rFonts w:ascii="Arial" w:hAnsi="Arial" w:cs="Arial"/>
              </w:rPr>
            </w:pPr>
          </w:p>
        </w:tc>
      </w:tr>
    </w:tbl>
    <w:p w14:paraId="1E2AA529" w14:textId="77777777" w:rsidR="00B75C24" w:rsidRPr="008925CE" w:rsidRDefault="00B75C24" w:rsidP="00B75C24">
      <w:pPr>
        <w:keepNext/>
        <w:tabs>
          <w:tab w:val="left" w:pos="567"/>
        </w:tabs>
        <w:spacing w:after="0"/>
        <w:ind w:right="-613"/>
        <w:rPr>
          <w:rFonts w:cs="Arial"/>
        </w:rPr>
      </w:pPr>
    </w:p>
    <w:p w14:paraId="650ED941" w14:textId="3083403B" w:rsidR="00B75C24" w:rsidRPr="008925CE" w:rsidRDefault="00073097" w:rsidP="00B75C24">
      <w:pPr>
        <w:tabs>
          <w:tab w:val="left" w:pos="567"/>
        </w:tabs>
        <w:spacing w:after="0"/>
        <w:ind w:right="-613"/>
        <w:rPr>
          <w:rFonts w:cs="Arial"/>
          <w:b/>
        </w:rPr>
      </w:pPr>
      <w:r>
        <w:rPr>
          <w:rFonts w:cs="Arial"/>
          <w:b/>
        </w:rPr>
        <w:t>Table 7</w:t>
      </w:r>
      <w:r w:rsidR="00B75C24" w:rsidRPr="008925CE">
        <w:rPr>
          <w:rFonts w:cs="Arial"/>
          <w:b/>
        </w:rPr>
        <w:t xml:space="preserve"> –</w:t>
      </w:r>
      <w:r w:rsidR="00B75C24" w:rsidRPr="008925CE">
        <w:rPr>
          <w:rFonts w:cs="Arial"/>
        </w:rPr>
        <w:t xml:space="preserve"> </w:t>
      </w:r>
      <w:r w:rsidR="00B75C24" w:rsidRPr="008925CE">
        <w:rPr>
          <w:rFonts w:cs="Arial"/>
          <w:b/>
        </w:rPr>
        <w:t>Additional funding required for previously approved programmes</w:t>
      </w:r>
    </w:p>
    <w:p w14:paraId="05B177C5" w14:textId="77777777" w:rsidR="00B75C24" w:rsidRPr="008925CE" w:rsidRDefault="00B75C24" w:rsidP="00B75C24">
      <w:pPr>
        <w:tabs>
          <w:tab w:val="left" w:pos="567"/>
        </w:tabs>
        <w:spacing w:after="0"/>
        <w:ind w:right="-613"/>
        <w:rPr>
          <w:rFonts w:cs="Arial"/>
        </w:rPr>
      </w:pPr>
    </w:p>
    <w:tbl>
      <w:tblPr>
        <w:tblStyle w:val="TableGrid3"/>
        <w:tblW w:w="14737" w:type="dxa"/>
        <w:tblLook w:val="04A0" w:firstRow="1" w:lastRow="0" w:firstColumn="1" w:lastColumn="0" w:noHBand="0" w:noVBand="1"/>
      </w:tblPr>
      <w:tblGrid>
        <w:gridCol w:w="1980"/>
        <w:gridCol w:w="4252"/>
        <w:gridCol w:w="1701"/>
        <w:gridCol w:w="6804"/>
      </w:tblGrid>
      <w:tr w:rsidR="00B75C24" w:rsidRPr="008925CE" w14:paraId="4D6C0344" w14:textId="77777777" w:rsidTr="00805F51">
        <w:trPr>
          <w:tblHeader/>
        </w:trPr>
        <w:tc>
          <w:tcPr>
            <w:tcW w:w="1980" w:type="dxa"/>
            <w:shd w:val="clear" w:color="auto" w:fill="D9D9D9" w:themeFill="background1" w:themeFillShade="D9"/>
          </w:tcPr>
          <w:p w14:paraId="044C7C4A" w14:textId="77777777" w:rsidR="00B75C24" w:rsidRPr="008925CE" w:rsidRDefault="00B75C24" w:rsidP="009D6093">
            <w:pPr>
              <w:keepNext/>
              <w:tabs>
                <w:tab w:val="left" w:pos="567"/>
              </w:tabs>
              <w:spacing w:after="0"/>
              <w:ind w:right="-613"/>
              <w:rPr>
                <w:rFonts w:ascii="Arial" w:hAnsi="Arial" w:cs="Arial"/>
                <w:b/>
              </w:rPr>
            </w:pPr>
            <w:r w:rsidRPr="008925CE">
              <w:rPr>
                <w:rFonts w:ascii="Arial" w:hAnsi="Arial" w:cs="Arial"/>
                <w:b/>
              </w:rPr>
              <w:t>Project Name</w:t>
            </w:r>
          </w:p>
        </w:tc>
        <w:tc>
          <w:tcPr>
            <w:tcW w:w="4252" w:type="dxa"/>
            <w:shd w:val="clear" w:color="auto" w:fill="D9D9D9" w:themeFill="background1" w:themeFillShade="D9"/>
          </w:tcPr>
          <w:p w14:paraId="0548CD72" w14:textId="77777777" w:rsidR="00B75C24" w:rsidRPr="008925CE" w:rsidRDefault="00B75C24" w:rsidP="009D6093">
            <w:pPr>
              <w:keepNext/>
              <w:tabs>
                <w:tab w:val="left" w:pos="567"/>
              </w:tabs>
              <w:spacing w:after="0"/>
              <w:ind w:right="-613"/>
              <w:rPr>
                <w:rFonts w:ascii="Arial" w:hAnsi="Arial" w:cs="Arial"/>
                <w:b/>
              </w:rPr>
            </w:pPr>
            <w:r w:rsidRPr="008925CE">
              <w:rPr>
                <w:rFonts w:ascii="Arial" w:hAnsi="Arial" w:cs="Arial"/>
                <w:b/>
              </w:rPr>
              <w:t>Project Description</w:t>
            </w:r>
          </w:p>
        </w:tc>
        <w:tc>
          <w:tcPr>
            <w:tcW w:w="1701" w:type="dxa"/>
            <w:shd w:val="clear" w:color="auto" w:fill="D9D9D9" w:themeFill="background1" w:themeFillShade="D9"/>
          </w:tcPr>
          <w:p w14:paraId="0B91601A" w14:textId="77777777" w:rsidR="009D6093" w:rsidRDefault="00B75C24" w:rsidP="009D6093">
            <w:pPr>
              <w:keepNext/>
              <w:tabs>
                <w:tab w:val="left" w:pos="567"/>
              </w:tabs>
              <w:spacing w:after="0"/>
              <w:rPr>
                <w:rFonts w:ascii="Arial" w:hAnsi="Arial" w:cs="Arial"/>
                <w:b/>
              </w:rPr>
            </w:pPr>
            <w:r w:rsidRPr="008925CE">
              <w:rPr>
                <w:rFonts w:ascii="Arial" w:hAnsi="Arial" w:cs="Arial"/>
                <w:b/>
              </w:rPr>
              <w:t xml:space="preserve">Forecast Budget Required) </w:t>
            </w:r>
          </w:p>
          <w:p w14:paraId="54FE487C" w14:textId="63207F83" w:rsidR="00B75C24" w:rsidRPr="008925CE" w:rsidRDefault="00B75C24" w:rsidP="009D6093">
            <w:pPr>
              <w:keepNext/>
              <w:tabs>
                <w:tab w:val="left" w:pos="567"/>
              </w:tabs>
              <w:spacing w:after="0"/>
              <w:ind w:right="175"/>
              <w:jc w:val="right"/>
              <w:rPr>
                <w:rFonts w:ascii="Arial" w:hAnsi="Arial" w:cs="Arial"/>
                <w:b/>
              </w:rPr>
            </w:pPr>
            <w:r w:rsidRPr="008925CE">
              <w:rPr>
                <w:rFonts w:ascii="Arial" w:hAnsi="Arial" w:cs="Arial"/>
                <w:b/>
              </w:rPr>
              <w:t xml:space="preserve">(£m) </w:t>
            </w:r>
          </w:p>
        </w:tc>
        <w:tc>
          <w:tcPr>
            <w:tcW w:w="6804" w:type="dxa"/>
            <w:shd w:val="clear" w:color="auto" w:fill="D9D9D9" w:themeFill="background1" w:themeFillShade="D9"/>
          </w:tcPr>
          <w:p w14:paraId="3A2F8E1F" w14:textId="77777777" w:rsidR="00B75C24" w:rsidRPr="008925CE" w:rsidRDefault="00B75C24" w:rsidP="009D6093">
            <w:pPr>
              <w:keepNext/>
              <w:tabs>
                <w:tab w:val="left" w:pos="567"/>
              </w:tabs>
              <w:spacing w:after="0"/>
              <w:ind w:right="-613"/>
              <w:rPr>
                <w:rFonts w:ascii="Arial" w:hAnsi="Arial" w:cs="Arial"/>
                <w:b/>
              </w:rPr>
            </w:pPr>
            <w:r w:rsidRPr="008925CE">
              <w:rPr>
                <w:rFonts w:ascii="Arial" w:hAnsi="Arial" w:cs="Arial"/>
                <w:b/>
              </w:rPr>
              <w:t>Justification</w:t>
            </w:r>
          </w:p>
        </w:tc>
      </w:tr>
      <w:tr w:rsidR="00B75C24" w:rsidRPr="008925CE" w14:paraId="0C846258" w14:textId="77777777" w:rsidTr="00805F51">
        <w:tc>
          <w:tcPr>
            <w:tcW w:w="1980" w:type="dxa"/>
          </w:tcPr>
          <w:p w14:paraId="43C636E6" w14:textId="18D2FE68" w:rsidR="00B75C24" w:rsidRPr="008925CE" w:rsidRDefault="00F835B2" w:rsidP="00805F51">
            <w:pPr>
              <w:tabs>
                <w:tab w:val="left" w:pos="567"/>
              </w:tabs>
              <w:rPr>
                <w:rFonts w:ascii="Arial" w:hAnsi="Arial" w:cs="Arial"/>
              </w:rPr>
            </w:pPr>
            <w:r>
              <w:rPr>
                <w:rFonts w:ascii="Arial" w:hAnsi="Arial" w:cs="Arial"/>
              </w:rPr>
              <w:t xml:space="preserve">Lancaster Congestion Relief </w:t>
            </w:r>
            <w:r w:rsidR="00B75C24" w:rsidRPr="008925CE">
              <w:rPr>
                <w:rFonts w:ascii="Arial" w:hAnsi="Arial" w:cs="Arial"/>
              </w:rPr>
              <w:t xml:space="preserve">Movement Strategy </w:t>
            </w:r>
          </w:p>
        </w:tc>
        <w:tc>
          <w:tcPr>
            <w:tcW w:w="4252" w:type="dxa"/>
          </w:tcPr>
          <w:p w14:paraId="2634DE50" w14:textId="77777777" w:rsidR="00B75C24" w:rsidRPr="008925CE" w:rsidRDefault="00B75C24" w:rsidP="00F835B2">
            <w:pPr>
              <w:tabs>
                <w:tab w:val="left" w:pos="567"/>
              </w:tabs>
              <w:ind w:right="33"/>
              <w:jc w:val="left"/>
              <w:rPr>
                <w:rFonts w:ascii="Arial" w:hAnsi="Arial" w:cs="Arial"/>
              </w:rPr>
            </w:pPr>
            <w:r w:rsidRPr="008925CE">
              <w:rPr>
                <w:rFonts w:ascii="Arial" w:hAnsi="Arial" w:cs="Arial"/>
              </w:rPr>
              <w:t>Undertake a movement strategy in Lancaster to establish the future development works in the city centre to manage congestion.</w:t>
            </w:r>
          </w:p>
        </w:tc>
        <w:tc>
          <w:tcPr>
            <w:tcW w:w="1701" w:type="dxa"/>
          </w:tcPr>
          <w:p w14:paraId="554164D9" w14:textId="1DAB6C15" w:rsidR="00B75C24" w:rsidRPr="008925CE" w:rsidRDefault="00B75C24" w:rsidP="00A81116">
            <w:pPr>
              <w:tabs>
                <w:tab w:val="left" w:pos="567"/>
              </w:tabs>
              <w:ind w:right="175"/>
              <w:jc w:val="right"/>
              <w:rPr>
                <w:rFonts w:ascii="Arial" w:hAnsi="Arial" w:cs="Arial"/>
              </w:rPr>
            </w:pPr>
            <w:r w:rsidRPr="008925CE">
              <w:rPr>
                <w:rFonts w:ascii="Arial" w:hAnsi="Arial" w:cs="Arial"/>
              </w:rPr>
              <w:t>0.136</w:t>
            </w:r>
          </w:p>
        </w:tc>
        <w:tc>
          <w:tcPr>
            <w:tcW w:w="6804" w:type="dxa"/>
          </w:tcPr>
          <w:p w14:paraId="48C6C51A" w14:textId="2FBF73D1" w:rsidR="00B75C24" w:rsidRPr="008925CE" w:rsidRDefault="00B75C24" w:rsidP="00805F51">
            <w:pPr>
              <w:tabs>
                <w:tab w:val="left" w:pos="567"/>
              </w:tabs>
              <w:rPr>
                <w:rFonts w:ascii="Arial" w:hAnsi="Arial" w:cs="Arial"/>
              </w:rPr>
            </w:pPr>
            <w:r w:rsidRPr="008925CE">
              <w:rPr>
                <w:rFonts w:ascii="Arial" w:hAnsi="Arial" w:cs="Arial"/>
              </w:rPr>
              <w:t>This work was identified as part of the Lancaster Masterplan and an allocation of £0.250m was approved in 2016/17, which has been used in part to fund the Park and Ride Facility at Caton Road.</w:t>
            </w:r>
            <w:r w:rsidR="00F835B2">
              <w:rPr>
                <w:rFonts w:ascii="Arial" w:hAnsi="Arial" w:cs="Arial"/>
              </w:rPr>
              <w:t xml:space="preserve"> </w:t>
            </w:r>
            <w:r w:rsidRPr="008925CE">
              <w:rPr>
                <w:rFonts w:ascii="Arial" w:hAnsi="Arial" w:cs="Arial"/>
              </w:rPr>
              <w:t xml:space="preserve"> However, the remaining £0.114m is not sufficient to complete the Movement Strategy. </w:t>
            </w:r>
            <w:r w:rsidR="00F835B2">
              <w:rPr>
                <w:rFonts w:ascii="Arial" w:hAnsi="Arial" w:cs="Arial"/>
              </w:rPr>
              <w:t xml:space="preserve"> </w:t>
            </w:r>
            <w:r w:rsidRPr="008925CE">
              <w:rPr>
                <w:rFonts w:ascii="Arial" w:hAnsi="Arial" w:cs="Arial"/>
              </w:rPr>
              <w:t xml:space="preserve">This in turn will identify physical works to improve congestion in Lancaster City Centre and the major routes, supporting economic growth in and around Lancaster, for example the Bailrigg Garden Village Development. </w:t>
            </w:r>
            <w:r w:rsidR="00F835B2">
              <w:rPr>
                <w:rFonts w:ascii="Arial" w:hAnsi="Arial" w:cs="Arial"/>
              </w:rPr>
              <w:t xml:space="preserve"> </w:t>
            </w:r>
            <w:r w:rsidRPr="008925CE">
              <w:rPr>
                <w:rFonts w:ascii="Arial" w:hAnsi="Arial" w:cs="Arial"/>
              </w:rPr>
              <w:t xml:space="preserve">The additional funding requested will increase the overall allocation to £0.386m. </w:t>
            </w:r>
          </w:p>
        </w:tc>
      </w:tr>
    </w:tbl>
    <w:p w14:paraId="4DBD9306" w14:textId="77777777" w:rsidR="00B75C24" w:rsidRPr="008925CE" w:rsidRDefault="00B75C24" w:rsidP="00B75C24">
      <w:pPr>
        <w:tabs>
          <w:tab w:val="left" w:pos="567"/>
        </w:tabs>
        <w:spacing w:after="0"/>
        <w:ind w:right="-613"/>
        <w:rPr>
          <w:rFonts w:cs="Arial"/>
        </w:rPr>
      </w:pPr>
    </w:p>
    <w:p w14:paraId="57B1F94C" w14:textId="5ECAE055" w:rsidR="00F835B2" w:rsidRDefault="00F835B2">
      <w:pPr>
        <w:autoSpaceDE/>
        <w:autoSpaceDN/>
        <w:adjustRightInd/>
        <w:spacing w:after="0"/>
        <w:jc w:val="left"/>
        <w:rPr>
          <w:rFonts w:cs="Arial"/>
          <w:b/>
        </w:rPr>
      </w:pPr>
      <w:r>
        <w:rPr>
          <w:rFonts w:cs="Arial"/>
          <w:b/>
        </w:rPr>
        <w:br w:type="page"/>
      </w:r>
    </w:p>
    <w:p w14:paraId="280CFAB1" w14:textId="77777777" w:rsidR="00B75C24" w:rsidRDefault="00B75C24" w:rsidP="00B75C24">
      <w:pPr>
        <w:tabs>
          <w:tab w:val="left" w:pos="567"/>
        </w:tabs>
        <w:spacing w:after="0"/>
        <w:ind w:right="-613"/>
        <w:rPr>
          <w:rFonts w:cs="Arial"/>
          <w:b/>
        </w:rPr>
      </w:pPr>
    </w:p>
    <w:p w14:paraId="61B5C0E8" w14:textId="672180E2" w:rsidR="00B75C24" w:rsidRPr="008925CE" w:rsidRDefault="00B75C24" w:rsidP="00B75C24">
      <w:pPr>
        <w:tabs>
          <w:tab w:val="left" w:pos="567"/>
        </w:tabs>
        <w:spacing w:after="0"/>
        <w:ind w:right="-613"/>
        <w:rPr>
          <w:rFonts w:cs="Arial"/>
          <w:b/>
        </w:rPr>
      </w:pPr>
      <w:r w:rsidRPr="008925CE">
        <w:rPr>
          <w:rFonts w:cs="Arial"/>
          <w:b/>
        </w:rPr>
        <w:t xml:space="preserve">Table </w:t>
      </w:r>
      <w:r w:rsidR="00073097">
        <w:rPr>
          <w:rFonts w:cs="Arial"/>
          <w:b/>
        </w:rPr>
        <w:t>8</w:t>
      </w:r>
      <w:r w:rsidRPr="008925CE">
        <w:rPr>
          <w:rFonts w:cs="Arial"/>
        </w:rPr>
        <w:t xml:space="preserve"> - </w:t>
      </w:r>
      <w:r w:rsidRPr="008925CE">
        <w:rPr>
          <w:rFonts w:cs="Arial"/>
          <w:b/>
        </w:rPr>
        <w:t>Proposed new projects to be delivered in 2018-19 and beyond</w:t>
      </w:r>
    </w:p>
    <w:p w14:paraId="14B67E7E" w14:textId="77777777" w:rsidR="00B75C24" w:rsidRPr="008925CE" w:rsidRDefault="00B75C24" w:rsidP="00B75C24">
      <w:pPr>
        <w:tabs>
          <w:tab w:val="left" w:pos="567"/>
        </w:tabs>
        <w:spacing w:after="0"/>
        <w:ind w:right="-613"/>
        <w:rPr>
          <w:rFonts w:cs="Arial"/>
        </w:rPr>
      </w:pPr>
    </w:p>
    <w:tbl>
      <w:tblPr>
        <w:tblStyle w:val="TableGrid3"/>
        <w:tblW w:w="14737" w:type="dxa"/>
        <w:tblLook w:val="04A0" w:firstRow="1" w:lastRow="0" w:firstColumn="1" w:lastColumn="0" w:noHBand="0" w:noVBand="1"/>
      </w:tblPr>
      <w:tblGrid>
        <w:gridCol w:w="2346"/>
        <w:gridCol w:w="4131"/>
        <w:gridCol w:w="1687"/>
        <w:gridCol w:w="6573"/>
      </w:tblGrid>
      <w:tr w:rsidR="00B75C24" w:rsidRPr="008925CE" w14:paraId="7BF2C348" w14:textId="77777777" w:rsidTr="00805F51">
        <w:trPr>
          <w:tblHeader/>
        </w:trPr>
        <w:tc>
          <w:tcPr>
            <w:tcW w:w="2217" w:type="dxa"/>
            <w:shd w:val="clear" w:color="auto" w:fill="D9D9D9" w:themeFill="background1" w:themeFillShade="D9"/>
          </w:tcPr>
          <w:p w14:paraId="381F6511" w14:textId="77777777" w:rsidR="00B75C24" w:rsidRPr="008925CE" w:rsidRDefault="00B75C24" w:rsidP="00A81116">
            <w:pPr>
              <w:keepNext/>
              <w:tabs>
                <w:tab w:val="left" w:pos="567"/>
              </w:tabs>
              <w:spacing w:after="0"/>
              <w:ind w:right="-613"/>
              <w:rPr>
                <w:rFonts w:ascii="Arial" w:hAnsi="Arial" w:cs="Arial"/>
                <w:b/>
              </w:rPr>
            </w:pPr>
            <w:r w:rsidRPr="008925CE">
              <w:rPr>
                <w:rFonts w:ascii="Arial" w:hAnsi="Arial" w:cs="Arial"/>
                <w:b/>
              </w:rPr>
              <w:t>Project Name</w:t>
            </w:r>
          </w:p>
        </w:tc>
        <w:tc>
          <w:tcPr>
            <w:tcW w:w="4174" w:type="dxa"/>
            <w:shd w:val="clear" w:color="auto" w:fill="D9D9D9" w:themeFill="background1" w:themeFillShade="D9"/>
          </w:tcPr>
          <w:p w14:paraId="277506FB" w14:textId="77777777" w:rsidR="00B75C24" w:rsidRPr="008925CE" w:rsidRDefault="00B75C24" w:rsidP="00A81116">
            <w:pPr>
              <w:keepNext/>
              <w:tabs>
                <w:tab w:val="left" w:pos="567"/>
              </w:tabs>
              <w:spacing w:after="0"/>
              <w:ind w:right="-613"/>
              <w:rPr>
                <w:rFonts w:ascii="Arial" w:hAnsi="Arial" w:cs="Arial"/>
                <w:b/>
              </w:rPr>
            </w:pPr>
            <w:r w:rsidRPr="008925CE">
              <w:rPr>
                <w:rFonts w:ascii="Arial" w:hAnsi="Arial" w:cs="Arial"/>
                <w:b/>
              </w:rPr>
              <w:t>Project Description</w:t>
            </w:r>
          </w:p>
        </w:tc>
        <w:tc>
          <w:tcPr>
            <w:tcW w:w="1691" w:type="dxa"/>
            <w:shd w:val="clear" w:color="auto" w:fill="D9D9D9" w:themeFill="background1" w:themeFillShade="D9"/>
          </w:tcPr>
          <w:p w14:paraId="35E99045" w14:textId="77777777" w:rsidR="00A81116" w:rsidRDefault="00B75C24" w:rsidP="00A81116">
            <w:pPr>
              <w:keepNext/>
              <w:tabs>
                <w:tab w:val="left" w:pos="567"/>
              </w:tabs>
              <w:spacing w:after="0"/>
              <w:ind w:right="38"/>
              <w:rPr>
                <w:rFonts w:ascii="Arial" w:hAnsi="Arial" w:cs="Arial"/>
                <w:b/>
              </w:rPr>
            </w:pPr>
            <w:r w:rsidRPr="008925CE">
              <w:rPr>
                <w:rFonts w:ascii="Arial" w:hAnsi="Arial" w:cs="Arial"/>
                <w:b/>
              </w:rPr>
              <w:t xml:space="preserve">Forecast Budget Required) </w:t>
            </w:r>
          </w:p>
          <w:p w14:paraId="4F99A1CD" w14:textId="5C507032" w:rsidR="00B75C24" w:rsidRPr="008925CE" w:rsidRDefault="00B75C24" w:rsidP="00A81116">
            <w:pPr>
              <w:keepNext/>
              <w:tabs>
                <w:tab w:val="left" w:pos="567"/>
              </w:tabs>
              <w:spacing w:after="0"/>
              <w:ind w:right="266"/>
              <w:jc w:val="right"/>
              <w:rPr>
                <w:rFonts w:ascii="Arial" w:hAnsi="Arial" w:cs="Arial"/>
                <w:b/>
              </w:rPr>
            </w:pPr>
            <w:r w:rsidRPr="008925CE">
              <w:rPr>
                <w:rFonts w:ascii="Arial" w:hAnsi="Arial" w:cs="Arial"/>
                <w:b/>
              </w:rPr>
              <w:t xml:space="preserve">(£m) </w:t>
            </w:r>
          </w:p>
        </w:tc>
        <w:tc>
          <w:tcPr>
            <w:tcW w:w="6655" w:type="dxa"/>
            <w:shd w:val="clear" w:color="auto" w:fill="D9D9D9" w:themeFill="background1" w:themeFillShade="D9"/>
          </w:tcPr>
          <w:p w14:paraId="53E10E69" w14:textId="77777777" w:rsidR="00B75C24" w:rsidRPr="008925CE" w:rsidRDefault="00B75C24" w:rsidP="00A81116">
            <w:pPr>
              <w:keepNext/>
              <w:tabs>
                <w:tab w:val="left" w:pos="567"/>
              </w:tabs>
              <w:spacing w:after="0"/>
              <w:ind w:right="-613"/>
              <w:rPr>
                <w:rFonts w:ascii="Arial" w:hAnsi="Arial" w:cs="Arial"/>
                <w:b/>
              </w:rPr>
            </w:pPr>
            <w:r w:rsidRPr="008925CE">
              <w:rPr>
                <w:rFonts w:ascii="Arial" w:hAnsi="Arial" w:cs="Arial"/>
                <w:b/>
              </w:rPr>
              <w:t>Justification</w:t>
            </w:r>
          </w:p>
        </w:tc>
      </w:tr>
      <w:tr w:rsidR="00B75C24" w:rsidRPr="008925CE" w14:paraId="2C21D569" w14:textId="77777777" w:rsidTr="00F835B2">
        <w:tc>
          <w:tcPr>
            <w:tcW w:w="2217" w:type="dxa"/>
          </w:tcPr>
          <w:p w14:paraId="2B3AAC00" w14:textId="77777777" w:rsidR="00B75C24" w:rsidRPr="008925CE" w:rsidRDefault="00B75C24" w:rsidP="00F835B2">
            <w:pPr>
              <w:tabs>
                <w:tab w:val="left" w:pos="567"/>
              </w:tabs>
              <w:spacing w:after="0"/>
              <w:ind w:right="129"/>
              <w:jc w:val="left"/>
              <w:rPr>
                <w:rFonts w:ascii="Arial" w:hAnsi="Arial" w:cs="Arial"/>
              </w:rPr>
            </w:pPr>
            <w:r w:rsidRPr="008925CE">
              <w:rPr>
                <w:rFonts w:ascii="Arial" w:hAnsi="Arial" w:cs="Arial"/>
              </w:rPr>
              <w:t>Smart enabled bus ticket machines</w:t>
            </w:r>
          </w:p>
        </w:tc>
        <w:tc>
          <w:tcPr>
            <w:tcW w:w="4174" w:type="dxa"/>
          </w:tcPr>
          <w:p w14:paraId="04E545CF" w14:textId="77777777" w:rsidR="00B75C24" w:rsidRPr="008925CE" w:rsidRDefault="00B75C24" w:rsidP="00F835B2">
            <w:pPr>
              <w:tabs>
                <w:tab w:val="left" w:pos="567"/>
              </w:tabs>
              <w:spacing w:after="0"/>
              <w:ind w:right="49"/>
              <w:jc w:val="left"/>
              <w:rPr>
                <w:rFonts w:ascii="Arial" w:hAnsi="Arial" w:cs="Arial"/>
              </w:rPr>
            </w:pPr>
            <w:r w:rsidRPr="008925CE">
              <w:rPr>
                <w:rFonts w:ascii="Arial" w:hAnsi="Arial" w:cs="Arial"/>
              </w:rPr>
              <w:t>Replace approximately 60 bus ticket machines with new smart enabled bus ticket machines.</w:t>
            </w:r>
          </w:p>
        </w:tc>
        <w:tc>
          <w:tcPr>
            <w:tcW w:w="1691" w:type="dxa"/>
          </w:tcPr>
          <w:p w14:paraId="6AB3C673" w14:textId="7DAD9674" w:rsidR="00B75C24" w:rsidRPr="008925CE" w:rsidRDefault="00B75C24" w:rsidP="00A81116">
            <w:pPr>
              <w:tabs>
                <w:tab w:val="left" w:pos="567"/>
              </w:tabs>
              <w:spacing w:after="0"/>
              <w:ind w:right="182"/>
              <w:jc w:val="right"/>
              <w:rPr>
                <w:rFonts w:ascii="Arial" w:hAnsi="Arial" w:cs="Arial"/>
              </w:rPr>
            </w:pPr>
            <w:r w:rsidRPr="008925CE">
              <w:rPr>
                <w:rFonts w:ascii="Arial" w:hAnsi="Arial" w:cs="Arial"/>
              </w:rPr>
              <w:t>0.270</w:t>
            </w:r>
          </w:p>
        </w:tc>
        <w:tc>
          <w:tcPr>
            <w:tcW w:w="6655" w:type="dxa"/>
          </w:tcPr>
          <w:p w14:paraId="0DD12915" w14:textId="66706866" w:rsidR="00B75C24" w:rsidRPr="008925CE" w:rsidRDefault="00B75C24" w:rsidP="00F835B2">
            <w:pPr>
              <w:tabs>
                <w:tab w:val="left" w:pos="567"/>
              </w:tabs>
              <w:spacing w:after="0"/>
              <w:ind w:right="175"/>
              <w:rPr>
                <w:rFonts w:ascii="Arial" w:hAnsi="Arial" w:cs="Arial"/>
              </w:rPr>
            </w:pPr>
            <w:r w:rsidRPr="008925CE">
              <w:rPr>
                <w:rFonts w:ascii="Arial" w:hAnsi="Arial" w:cs="Arial"/>
              </w:rPr>
              <w:t>From June 2018, the bus ticket machines supplied by LCC to a number of operators will no longer be ITSO certified. Replacement machines will be required to enable English National Concessionary Travel Passes to be used on bus services and accurate reimbursement given.</w:t>
            </w:r>
            <w:r w:rsidR="00F835B2">
              <w:rPr>
                <w:rFonts w:ascii="Arial" w:hAnsi="Arial" w:cs="Arial"/>
              </w:rPr>
              <w:t xml:space="preserve"> </w:t>
            </w:r>
            <w:r w:rsidRPr="008925CE">
              <w:rPr>
                <w:rFonts w:ascii="Arial" w:hAnsi="Arial" w:cs="Arial"/>
              </w:rPr>
              <w:t xml:space="preserve"> Without this upgrade to the machines there is a risk of inaccurate concessionary travel payments and increased fraud, as well as being unable to engage in Transport for North Smart and Integrated Travel programme.  </w:t>
            </w:r>
          </w:p>
        </w:tc>
      </w:tr>
      <w:tr w:rsidR="00B75C24" w:rsidRPr="008925CE" w14:paraId="05CA0FE8" w14:textId="77777777" w:rsidTr="00F835B2">
        <w:tc>
          <w:tcPr>
            <w:tcW w:w="2217" w:type="dxa"/>
          </w:tcPr>
          <w:p w14:paraId="2904DB43" w14:textId="77777777" w:rsidR="00B75C24" w:rsidRPr="008925CE" w:rsidRDefault="00B75C24" w:rsidP="00F835B2">
            <w:pPr>
              <w:tabs>
                <w:tab w:val="left" w:pos="567"/>
              </w:tabs>
              <w:spacing w:after="0"/>
              <w:ind w:right="129"/>
              <w:jc w:val="left"/>
              <w:rPr>
                <w:rFonts w:ascii="Arial" w:hAnsi="Arial" w:cs="Arial"/>
              </w:rPr>
            </w:pPr>
            <w:r w:rsidRPr="008925CE">
              <w:rPr>
                <w:rFonts w:ascii="Arial" w:hAnsi="Arial" w:cs="Arial"/>
              </w:rPr>
              <w:t>Quality Bus Route - Shelter repair/replacement</w:t>
            </w:r>
          </w:p>
        </w:tc>
        <w:tc>
          <w:tcPr>
            <w:tcW w:w="4174" w:type="dxa"/>
          </w:tcPr>
          <w:p w14:paraId="3A5C6312" w14:textId="0161FF6E" w:rsidR="00B75C24" w:rsidRPr="008925CE" w:rsidRDefault="00B75C24" w:rsidP="00F835B2">
            <w:pPr>
              <w:tabs>
                <w:tab w:val="left" w:pos="567"/>
              </w:tabs>
              <w:spacing w:after="0"/>
              <w:ind w:right="49"/>
              <w:jc w:val="left"/>
              <w:rPr>
                <w:rFonts w:ascii="Arial" w:hAnsi="Arial" w:cs="Arial"/>
              </w:rPr>
            </w:pPr>
            <w:r w:rsidRPr="008925CE">
              <w:rPr>
                <w:rFonts w:ascii="Arial" w:hAnsi="Arial" w:cs="Arial"/>
              </w:rPr>
              <w:t xml:space="preserve">A programme of repair and replacement for the 700+ bus shelters on the Quality Bus Routes over 5 years, ensuring all works are Equality Act Compliant. </w:t>
            </w:r>
            <w:r w:rsidR="00F835B2">
              <w:rPr>
                <w:rFonts w:ascii="Arial" w:hAnsi="Arial" w:cs="Arial"/>
              </w:rPr>
              <w:t xml:space="preserve"> </w:t>
            </w:r>
            <w:r w:rsidRPr="008925CE">
              <w:rPr>
                <w:rFonts w:ascii="Arial" w:hAnsi="Arial" w:cs="Arial"/>
              </w:rPr>
              <w:t>Allowing for £5k per bus shelter – a total of £3,500,000</w:t>
            </w:r>
          </w:p>
        </w:tc>
        <w:tc>
          <w:tcPr>
            <w:tcW w:w="1691" w:type="dxa"/>
          </w:tcPr>
          <w:p w14:paraId="05517931" w14:textId="0771D34F" w:rsidR="00B75C24" w:rsidRPr="008925CE" w:rsidRDefault="00B75C24" w:rsidP="00A81116">
            <w:pPr>
              <w:tabs>
                <w:tab w:val="left" w:pos="567"/>
              </w:tabs>
              <w:spacing w:after="0"/>
              <w:ind w:right="182"/>
              <w:jc w:val="right"/>
              <w:rPr>
                <w:rFonts w:ascii="Arial" w:hAnsi="Arial" w:cs="Arial"/>
              </w:rPr>
            </w:pPr>
            <w:r w:rsidRPr="008925CE">
              <w:rPr>
                <w:rFonts w:ascii="Arial" w:hAnsi="Arial" w:cs="Arial"/>
              </w:rPr>
              <w:t>1.000</w:t>
            </w:r>
          </w:p>
        </w:tc>
        <w:tc>
          <w:tcPr>
            <w:tcW w:w="6655" w:type="dxa"/>
          </w:tcPr>
          <w:p w14:paraId="21A30380" w14:textId="77777777" w:rsidR="00B75C24" w:rsidRPr="008925CE" w:rsidRDefault="00B75C24" w:rsidP="00F835B2">
            <w:pPr>
              <w:tabs>
                <w:tab w:val="left" w:pos="567"/>
              </w:tabs>
              <w:spacing w:after="0"/>
              <w:ind w:right="175"/>
              <w:rPr>
                <w:rFonts w:ascii="Arial" w:hAnsi="Arial" w:cs="Arial"/>
              </w:rPr>
            </w:pPr>
            <w:r w:rsidRPr="008925CE">
              <w:rPr>
                <w:rFonts w:ascii="Arial" w:hAnsi="Arial" w:cs="Arial"/>
              </w:rPr>
              <w:t xml:space="preserve">The bus shelters that were introduced on the Quality Bus Routes are starting to reach their given life span and a programme of repair and replacement is needed to ensure they continue to be safe for users.  The capital investment required will be over 5 years, but will have to be front loaded in order to ensure the worst shelters are addressed early. </w:t>
            </w:r>
          </w:p>
        </w:tc>
      </w:tr>
      <w:tr w:rsidR="00B75C24" w:rsidRPr="008925CE" w14:paraId="4A5CC590" w14:textId="77777777" w:rsidTr="00F835B2">
        <w:tc>
          <w:tcPr>
            <w:tcW w:w="2217" w:type="dxa"/>
          </w:tcPr>
          <w:p w14:paraId="33D0F8EB" w14:textId="77777777" w:rsidR="00B75C24" w:rsidRPr="008925CE" w:rsidRDefault="00B75C24" w:rsidP="00F835B2">
            <w:pPr>
              <w:tabs>
                <w:tab w:val="left" w:pos="567"/>
              </w:tabs>
              <w:spacing w:after="0"/>
              <w:ind w:right="129"/>
              <w:jc w:val="left"/>
              <w:rPr>
                <w:rFonts w:ascii="Arial" w:hAnsi="Arial" w:cs="Arial"/>
              </w:rPr>
            </w:pPr>
            <w:r w:rsidRPr="008925CE">
              <w:rPr>
                <w:rFonts w:ascii="Arial" w:hAnsi="Arial" w:cs="Arial"/>
              </w:rPr>
              <w:t>Chorley/Nelson Interchanges - amendments to operating procedures</w:t>
            </w:r>
          </w:p>
        </w:tc>
        <w:tc>
          <w:tcPr>
            <w:tcW w:w="4174" w:type="dxa"/>
          </w:tcPr>
          <w:p w14:paraId="72EA2DB4" w14:textId="77777777" w:rsidR="00B75C24" w:rsidRPr="008925CE" w:rsidRDefault="00B75C24" w:rsidP="00F835B2">
            <w:pPr>
              <w:tabs>
                <w:tab w:val="left" w:pos="567"/>
              </w:tabs>
              <w:spacing w:after="0"/>
              <w:ind w:right="49"/>
              <w:jc w:val="left"/>
              <w:rPr>
                <w:rFonts w:ascii="Arial" w:hAnsi="Arial" w:cs="Arial"/>
              </w:rPr>
            </w:pPr>
            <w:r w:rsidRPr="008925CE">
              <w:rPr>
                <w:rFonts w:ascii="Arial" w:hAnsi="Arial" w:cs="Arial"/>
              </w:rPr>
              <w:t>Provide bus stands outside the main building</w:t>
            </w:r>
          </w:p>
        </w:tc>
        <w:tc>
          <w:tcPr>
            <w:tcW w:w="1691" w:type="dxa"/>
          </w:tcPr>
          <w:p w14:paraId="1CE84688" w14:textId="34C43838" w:rsidR="00B75C24" w:rsidRPr="008925CE" w:rsidRDefault="00B75C24" w:rsidP="00A81116">
            <w:pPr>
              <w:tabs>
                <w:tab w:val="left" w:pos="567"/>
              </w:tabs>
              <w:spacing w:after="0"/>
              <w:ind w:right="182"/>
              <w:jc w:val="right"/>
              <w:rPr>
                <w:rFonts w:ascii="Arial" w:hAnsi="Arial" w:cs="Arial"/>
              </w:rPr>
            </w:pPr>
            <w:r w:rsidRPr="008925CE">
              <w:rPr>
                <w:rFonts w:ascii="Arial" w:hAnsi="Arial" w:cs="Arial"/>
              </w:rPr>
              <w:t>0.100</w:t>
            </w:r>
          </w:p>
        </w:tc>
        <w:tc>
          <w:tcPr>
            <w:tcW w:w="6655" w:type="dxa"/>
          </w:tcPr>
          <w:p w14:paraId="15E697DD" w14:textId="77777777" w:rsidR="00B75C24" w:rsidRPr="008925CE" w:rsidRDefault="00B75C24" w:rsidP="00F835B2">
            <w:pPr>
              <w:tabs>
                <w:tab w:val="left" w:pos="567"/>
              </w:tabs>
              <w:spacing w:after="0"/>
              <w:ind w:right="175"/>
              <w:rPr>
                <w:rFonts w:ascii="Arial" w:hAnsi="Arial" w:cs="Arial"/>
              </w:rPr>
            </w:pPr>
            <w:r w:rsidRPr="008925CE">
              <w:rPr>
                <w:rFonts w:ascii="Arial" w:hAnsi="Arial" w:cs="Arial"/>
              </w:rPr>
              <w:t>This capital infrastructure provision will allow the main building to open just for the core hours and have other provision (bus stands) to be used at either end of the day, therefore reducing the running costs of the facility.</w:t>
            </w:r>
          </w:p>
        </w:tc>
      </w:tr>
      <w:tr w:rsidR="00B75C24" w:rsidRPr="008925CE" w14:paraId="4FCC7B82" w14:textId="77777777" w:rsidTr="00F835B2">
        <w:tc>
          <w:tcPr>
            <w:tcW w:w="2217" w:type="dxa"/>
          </w:tcPr>
          <w:p w14:paraId="6413FBB4" w14:textId="77777777" w:rsidR="00B75C24" w:rsidRPr="008925CE" w:rsidRDefault="00B75C24" w:rsidP="00F835B2">
            <w:pPr>
              <w:tabs>
                <w:tab w:val="left" w:pos="567"/>
              </w:tabs>
              <w:ind w:right="129"/>
              <w:jc w:val="left"/>
              <w:rPr>
                <w:rFonts w:ascii="Arial" w:hAnsi="Arial" w:cs="Arial"/>
              </w:rPr>
            </w:pPr>
            <w:r w:rsidRPr="008925CE">
              <w:rPr>
                <w:rFonts w:ascii="Arial" w:hAnsi="Arial" w:cs="Arial"/>
              </w:rPr>
              <w:t>Bus Station Information Displays</w:t>
            </w:r>
          </w:p>
        </w:tc>
        <w:tc>
          <w:tcPr>
            <w:tcW w:w="4174" w:type="dxa"/>
          </w:tcPr>
          <w:p w14:paraId="6DAC12C9" w14:textId="77777777" w:rsidR="00B75C24" w:rsidRPr="008925CE" w:rsidRDefault="00B75C24" w:rsidP="00F835B2">
            <w:pPr>
              <w:tabs>
                <w:tab w:val="left" w:pos="567"/>
              </w:tabs>
              <w:ind w:right="50"/>
              <w:jc w:val="left"/>
              <w:rPr>
                <w:rFonts w:ascii="Arial" w:hAnsi="Arial" w:cs="Arial"/>
              </w:rPr>
            </w:pPr>
            <w:r w:rsidRPr="008925CE">
              <w:rPr>
                <w:rFonts w:ascii="Arial" w:hAnsi="Arial" w:cs="Arial"/>
              </w:rPr>
              <w:t>Introduce up to date bus station displays that can interact with smart phones.</w:t>
            </w:r>
          </w:p>
        </w:tc>
        <w:tc>
          <w:tcPr>
            <w:tcW w:w="1691" w:type="dxa"/>
          </w:tcPr>
          <w:p w14:paraId="7D59A685" w14:textId="66AD90DC" w:rsidR="00B75C24" w:rsidRPr="008925CE" w:rsidRDefault="00B75C24" w:rsidP="00A81116">
            <w:pPr>
              <w:tabs>
                <w:tab w:val="left" w:pos="567"/>
              </w:tabs>
              <w:ind w:right="182"/>
              <w:jc w:val="right"/>
              <w:rPr>
                <w:rFonts w:ascii="Arial" w:hAnsi="Arial" w:cs="Arial"/>
              </w:rPr>
            </w:pPr>
            <w:r w:rsidRPr="008925CE">
              <w:rPr>
                <w:rFonts w:ascii="Arial" w:hAnsi="Arial" w:cs="Arial"/>
              </w:rPr>
              <w:t>0.060</w:t>
            </w:r>
          </w:p>
        </w:tc>
        <w:tc>
          <w:tcPr>
            <w:tcW w:w="6655" w:type="dxa"/>
          </w:tcPr>
          <w:p w14:paraId="7356461B" w14:textId="77777777" w:rsidR="00B75C24" w:rsidRPr="008925CE" w:rsidRDefault="00B75C24" w:rsidP="00F835B2">
            <w:pPr>
              <w:tabs>
                <w:tab w:val="left" w:pos="567"/>
              </w:tabs>
              <w:ind w:right="175"/>
              <w:jc w:val="left"/>
              <w:rPr>
                <w:rFonts w:ascii="Arial" w:hAnsi="Arial" w:cs="Arial"/>
              </w:rPr>
            </w:pPr>
            <w:r w:rsidRPr="008925CE">
              <w:rPr>
                <w:rFonts w:ascii="Arial" w:hAnsi="Arial" w:cs="Arial"/>
              </w:rPr>
              <w:t xml:space="preserve">The </w:t>
            </w:r>
            <w:r>
              <w:rPr>
                <w:rFonts w:ascii="Arial" w:hAnsi="Arial" w:cs="Arial"/>
              </w:rPr>
              <w:t xml:space="preserve">will allow instantaneous </w:t>
            </w:r>
            <w:r w:rsidRPr="008925CE">
              <w:rPr>
                <w:rFonts w:ascii="Arial" w:hAnsi="Arial" w:cs="Arial"/>
              </w:rPr>
              <w:t xml:space="preserve">access </w:t>
            </w:r>
            <w:r>
              <w:rPr>
                <w:rFonts w:ascii="Arial" w:hAnsi="Arial" w:cs="Arial"/>
              </w:rPr>
              <w:t xml:space="preserve">to </w:t>
            </w:r>
            <w:r w:rsidRPr="008925CE">
              <w:rPr>
                <w:rFonts w:ascii="Arial" w:hAnsi="Arial" w:cs="Arial"/>
              </w:rPr>
              <w:t>information</w:t>
            </w:r>
            <w:r>
              <w:rPr>
                <w:rFonts w:ascii="Arial" w:hAnsi="Arial" w:cs="Arial"/>
              </w:rPr>
              <w:t xml:space="preserve"> to inform travel choices and</w:t>
            </w:r>
            <w:r w:rsidRPr="008925CE">
              <w:rPr>
                <w:rFonts w:ascii="Arial" w:hAnsi="Arial" w:cs="Arial"/>
              </w:rPr>
              <w:t xml:space="preserve"> will provide a uniform service across the county. </w:t>
            </w:r>
          </w:p>
        </w:tc>
      </w:tr>
      <w:tr w:rsidR="00B75C24" w:rsidRPr="008925CE" w14:paraId="23780310" w14:textId="77777777" w:rsidTr="00805F51">
        <w:tc>
          <w:tcPr>
            <w:tcW w:w="2217" w:type="dxa"/>
          </w:tcPr>
          <w:p w14:paraId="72AB143F" w14:textId="77777777" w:rsidR="00B75C24" w:rsidRPr="008925CE" w:rsidRDefault="00B75C24" w:rsidP="00F835B2">
            <w:pPr>
              <w:tabs>
                <w:tab w:val="left" w:pos="567"/>
              </w:tabs>
              <w:ind w:right="129"/>
              <w:jc w:val="left"/>
              <w:rPr>
                <w:rFonts w:ascii="Arial" w:hAnsi="Arial" w:cs="Arial"/>
              </w:rPr>
            </w:pPr>
            <w:r w:rsidRPr="008925CE">
              <w:rPr>
                <w:rFonts w:ascii="Arial" w:hAnsi="Arial" w:cs="Arial"/>
              </w:rPr>
              <w:lastRenderedPageBreak/>
              <w:t>M6 Junction 31a Eastern Roundabout Improvement</w:t>
            </w:r>
          </w:p>
        </w:tc>
        <w:tc>
          <w:tcPr>
            <w:tcW w:w="4174" w:type="dxa"/>
          </w:tcPr>
          <w:p w14:paraId="2834B5EA" w14:textId="77777777" w:rsidR="00B75C24" w:rsidRPr="008925CE" w:rsidRDefault="00B75C24" w:rsidP="00F835B2">
            <w:pPr>
              <w:tabs>
                <w:tab w:val="left" w:pos="567"/>
              </w:tabs>
              <w:ind w:right="50"/>
              <w:jc w:val="left"/>
              <w:rPr>
                <w:rFonts w:ascii="Arial" w:hAnsi="Arial" w:cs="Arial"/>
              </w:rPr>
            </w:pPr>
            <w:r w:rsidRPr="008925CE">
              <w:rPr>
                <w:rFonts w:ascii="Arial" w:hAnsi="Arial" w:cs="Arial"/>
              </w:rPr>
              <w:t>Preliminary investigation and design to look at the congestion in this location – work may include widening of the slip road onto the M6 from the north east roundabout.</w:t>
            </w:r>
          </w:p>
        </w:tc>
        <w:tc>
          <w:tcPr>
            <w:tcW w:w="1691" w:type="dxa"/>
          </w:tcPr>
          <w:p w14:paraId="0933A3C2" w14:textId="2B9B43EE" w:rsidR="00B75C24" w:rsidRPr="008925CE" w:rsidRDefault="00B75C24" w:rsidP="00F835B2">
            <w:pPr>
              <w:tabs>
                <w:tab w:val="left" w:pos="567"/>
              </w:tabs>
              <w:ind w:left="513" w:right="124"/>
              <w:jc w:val="right"/>
              <w:rPr>
                <w:rFonts w:ascii="Arial" w:hAnsi="Arial" w:cs="Arial"/>
              </w:rPr>
            </w:pPr>
            <w:r w:rsidRPr="008925CE">
              <w:rPr>
                <w:rFonts w:ascii="Arial" w:hAnsi="Arial" w:cs="Arial"/>
              </w:rPr>
              <w:t>0.050</w:t>
            </w:r>
          </w:p>
        </w:tc>
        <w:tc>
          <w:tcPr>
            <w:tcW w:w="6655" w:type="dxa"/>
          </w:tcPr>
          <w:p w14:paraId="1D1E0379" w14:textId="77777777" w:rsidR="00B75C24" w:rsidRPr="008925CE" w:rsidRDefault="00B75C24" w:rsidP="00F835B2">
            <w:pPr>
              <w:tabs>
                <w:tab w:val="left" w:pos="567"/>
              </w:tabs>
              <w:ind w:right="175"/>
              <w:jc w:val="left"/>
              <w:rPr>
                <w:rFonts w:ascii="Arial" w:hAnsi="Arial" w:cs="Arial"/>
              </w:rPr>
            </w:pPr>
            <w:r w:rsidRPr="008925CE">
              <w:rPr>
                <w:rFonts w:ascii="Arial" w:hAnsi="Arial" w:cs="Arial"/>
              </w:rPr>
              <w:t xml:space="preserve">This location is a particular 'pinch point' for congestion for accessing the M6 motorway and traffic flow into Preston. It has been highlighted as a priority consideration as a result of a recent prioritisation of transport issues. </w:t>
            </w:r>
          </w:p>
        </w:tc>
      </w:tr>
      <w:tr w:rsidR="00B75C24" w:rsidRPr="008925CE" w14:paraId="10184984" w14:textId="77777777" w:rsidTr="00805F51">
        <w:tc>
          <w:tcPr>
            <w:tcW w:w="2217" w:type="dxa"/>
          </w:tcPr>
          <w:p w14:paraId="4E1A48F0" w14:textId="77777777" w:rsidR="00B75C24" w:rsidRPr="008925CE" w:rsidRDefault="00B75C24" w:rsidP="00F835B2">
            <w:pPr>
              <w:tabs>
                <w:tab w:val="left" w:pos="567"/>
              </w:tabs>
              <w:ind w:right="129"/>
              <w:jc w:val="left"/>
              <w:rPr>
                <w:rFonts w:ascii="Arial" w:hAnsi="Arial" w:cs="Arial"/>
              </w:rPr>
            </w:pPr>
            <w:r w:rsidRPr="008925CE">
              <w:rPr>
                <w:rFonts w:ascii="Arial" w:hAnsi="Arial" w:cs="Arial"/>
              </w:rPr>
              <w:t>Pipeline Projects development allocation</w:t>
            </w:r>
          </w:p>
        </w:tc>
        <w:tc>
          <w:tcPr>
            <w:tcW w:w="4174" w:type="dxa"/>
          </w:tcPr>
          <w:p w14:paraId="616D0E01" w14:textId="77777777" w:rsidR="00B75C24" w:rsidRPr="008925CE" w:rsidRDefault="00B75C24" w:rsidP="00F835B2">
            <w:pPr>
              <w:tabs>
                <w:tab w:val="left" w:pos="567"/>
              </w:tabs>
              <w:ind w:right="50"/>
              <w:jc w:val="left"/>
              <w:rPr>
                <w:rFonts w:ascii="Arial" w:hAnsi="Arial" w:cs="Arial"/>
              </w:rPr>
            </w:pPr>
            <w:r w:rsidRPr="008925CE">
              <w:rPr>
                <w:rFonts w:ascii="Arial" w:hAnsi="Arial" w:cs="Arial"/>
              </w:rPr>
              <w:t>Provide an allocation to develop potential schemes in readiness for funding bids</w:t>
            </w:r>
          </w:p>
        </w:tc>
        <w:tc>
          <w:tcPr>
            <w:tcW w:w="1691" w:type="dxa"/>
          </w:tcPr>
          <w:p w14:paraId="2FBF2F01" w14:textId="7E89CC89" w:rsidR="00B75C24" w:rsidRPr="008925CE" w:rsidRDefault="00B75C24" w:rsidP="00F835B2">
            <w:pPr>
              <w:tabs>
                <w:tab w:val="left" w:pos="567"/>
              </w:tabs>
              <w:ind w:left="513" w:right="124"/>
              <w:jc w:val="right"/>
              <w:rPr>
                <w:rFonts w:ascii="Arial" w:hAnsi="Arial" w:cs="Arial"/>
              </w:rPr>
            </w:pPr>
            <w:r w:rsidRPr="008925CE">
              <w:rPr>
                <w:rFonts w:ascii="Arial" w:hAnsi="Arial" w:cs="Arial"/>
              </w:rPr>
              <w:t>0.100</w:t>
            </w:r>
          </w:p>
        </w:tc>
        <w:tc>
          <w:tcPr>
            <w:tcW w:w="6655" w:type="dxa"/>
          </w:tcPr>
          <w:p w14:paraId="547B0FC1" w14:textId="0AE6B6A3" w:rsidR="00B75C24" w:rsidRPr="008925CE" w:rsidRDefault="00B75C24" w:rsidP="00F835B2">
            <w:pPr>
              <w:tabs>
                <w:tab w:val="left" w:pos="567"/>
              </w:tabs>
              <w:ind w:right="175"/>
              <w:jc w:val="left"/>
              <w:rPr>
                <w:rFonts w:ascii="Arial" w:hAnsi="Arial" w:cs="Arial"/>
              </w:rPr>
            </w:pPr>
            <w:r w:rsidRPr="008925CE">
              <w:rPr>
                <w:rFonts w:ascii="Arial" w:hAnsi="Arial" w:cs="Arial"/>
              </w:rPr>
              <w:t>This allocation w</w:t>
            </w:r>
            <w:r>
              <w:rPr>
                <w:rFonts w:ascii="Arial" w:hAnsi="Arial" w:cs="Arial"/>
              </w:rPr>
              <w:t>ill</w:t>
            </w:r>
            <w:r w:rsidRPr="008925CE">
              <w:rPr>
                <w:rFonts w:ascii="Arial" w:hAnsi="Arial" w:cs="Arial"/>
              </w:rPr>
              <w:t xml:space="preserve"> allow the county council to develop pipeline projects In order to take advantage of </w:t>
            </w:r>
            <w:r>
              <w:rPr>
                <w:rFonts w:ascii="Arial" w:hAnsi="Arial" w:cs="Arial"/>
              </w:rPr>
              <w:t>future Central Government</w:t>
            </w:r>
            <w:r w:rsidRPr="008925CE">
              <w:rPr>
                <w:rFonts w:ascii="Arial" w:hAnsi="Arial" w:cs="Arial"/>
              </w:rPr>
              <w:t xml:space="preserve"> funding opportunities. </w:t>
            </w:r>
          </w:p>
        </w:tc>
      </w:tr>
      <w:tr w:rsidR="00B75C24" w:rsidRPr="008925CE" w14:paraId="345EE673" w14:textId="77777777" w:rsidTr="00805F51">
        <w:tc>
          <w:tcPr>
            <w:tcW w:w="6391" w:type="dxa"/>
            <w:gridSpan w:val="2"/>
            <w:vAlign w:val="center"/>
          </w:tcPr>
          <w:p w14:paraId="0EC8FDBC" w14:textId="77777777" w:rsidR="00B75C24" w:rsidRPr="008925CE" w:rsidRDefault="00B75C24" w:rsidP="00F835B2">
            <w:pPr>
              <w:tabs>
                <w:tab w:val="left" w:pos="567"/>
              </w:tabs>
              <w:ind w:right="-613"/>
              <w:jc w:val="left"/>
              <w:rPr>
                <w:rFonts w:ascii="Arial" w:hAnsi="Arial" w:cs="Arial"/>
                <w:b/>
              </w:rPr>
            </w:pPr>
            <w:r w:rsidRPr="008925CE">
              <w:rPr>
                <w:rFonts w:ascii="Arial" w:hAnsi="Arial" w:cs="Arial"/>
                <w:b/>
              </w:rPr>
              <w:t>Total</w:t>
            </w:r>
          </w:p>
        </w:tc>
        <w:tc>
          <w:tcPr>
            <w:tcW w:w="1691" w:type="dxa"/>
            <w:shd w:val="clear" w:color="auto" w:fill="auto"/>
          </w:tcPr>
          <w:p w14:paraId="4FBAD24A" w14:textId="0778A420" w:rsidR="00B75C24" w:rsidRPr="008925CE" w:rsidRDefault="00B75C24" w:rsidP="00F835B2">
            <w:pPr>
              <w:tabs>
                <w:tab w:val="left" w:pos="567"/>
              </w:tabs>
              <w:ind w:left="513" w:right="125"/>
              <w:jc w:val="right"/>
              <w:rPr>
                <w:rFonts w:ascii="Arial" w:hAnsi="Arial" w:cs="Arial"/>
                <w:b/>
              </w:rPr>
            </w:pPr>
            <w:r w:rsidRPr="008925CE">
              <w:rPr>
                <w:rFonts w:ascii="Arial" w:hAnsi="Arial" w:cs="Arial"/>
                <w:b/>
              </w:rPr>
              <w:t>1.580</w:t>
            </w:r>
          </w:p>
        </w:tc>
        <w:tc>
          <w:tcPr>
            <w:tcW w:w="6655" w:type="dxa"/>
          </w:tcPr>
          <w:p w14:paraId="4D22352D" w14:textId="77777777" w:rsidR="00B75C24" w:rsidRPr="008925CE" w:rsidRDefault="00B75C24" w:rsidP="00F835B2">
            <w:pPr>
              <w:tabs>
                <w:tab w:val="left" w:pos="567"/>
              </w:tabs>
              <w:ind w:right="-613"/>
              <w:jc w:val="left"/>
              <w:rPr>
                <w:rFonts w:ascii="Arial" w:hAnsi="Arial" w:cs="Arial"/>
              </w:rPr>
            </w:pPr>
          </w:p>
        </w:tc>
      </w:tr>
    </w:tbl>
    <w:p w14:paraId="37BBA138" w14:textId="77777777" w:rsidR="00B75C24" w:rsidRPr="008925CE" w:rsidRDefault="00B75C24" w:rsidP="00B75C24">
      <w:pPr>
        <w:tabs>
          <w:tab w:val="left" w:pos="567"/>
        </w:tabs>
        <w:spacing w:after="0"/>
        <w:ind w:right="-613"/>
        <w:rPr>
          <w:rFonts w:cs="Arial"/>
        </w:rPr>
      </w:pPr>
    </w:p>
    <w:p w14:paraId="3424BA36" w14:textId="24AA0A78" w:rsidR="00B75C24" w:rsidRPr="008925CE" w:rsidRDefault="00B75C24" w:rsidP="00B75C24">
      <w:pPr>
        <w:keepNext/>
        <w:tabs>
          <w:tab w:val="left" w:pos="567"/>
        </w:tabs>
        <w:spacing w:after="0"/>
        <w:ind w:right="-613"/>
        <w:rPr>
          <w:rFonts w:cs="Arial"/>
        </w:rPr>
      </w:pPr>
      <w:r w:rsidRPr="008925CE">
        <w:rPr>
          <w:rFonts w:cs="Arial"/>
          <w:b/>
        </w:rPr>
        <w:t xml:space="preserve">Table </w:t>
      </w:r>
      <w:r w:rsidR="00073097">
        <w:rPr>
          <w:rFonts w:cs="Arial"/>
          <w:b/>
        </w:rPr>
        <w:t>9</w:t>
      </w:r>
      <w:r w:rsidRPr="008925CE">
        <w:rPr>
          <w:rFonts w:cs="Arial"/>
          <w:b/>
        </w:rPr>
        <w:t xml:space="preserve"> – previously approved projects that could be re-purposed</w:t>
      </w:r>
    </w:p>
    <w:p w14:paraId="00086D6E" w14:textId="77777777" w:rsidR="00B75C24" w:rsidRPr="008925CE" w:rsidRDefault="00B75C24" w:rsidP="00B75C24">
      <w:pPr>
        <w:keepNext/>
        <w:tabs>
          <w:tab w:val="left" w:pos="567"/>
        </w:tabs>
        <w:spacing w:after="0"/>
        <w:ind w:right="-613"/>
        <w:rPr>
          <w:rFonts w:cs="Arial"/>
        </w:rPr>
      </w:pPr>
    </w:p>
    <w:tbl>
      <w:tblPr>
        <w:tblStyle w:val="TableGrid3"/>
        <w:tblW w:w="14737" w:type="dxa"/>
        <w:tblLook w:val="04A0" w:firstRow="1" w:lastRow="0" w:firstColumn="1" w:lastColumn="0" w:noHBand="0" w:noVBand="1"/>
      </w:tblPr>
      <w:tblGrid>
        <w:gridCol w:w="2122"/>
        <w:gridCol w:w="1701"/>
        <w:gridCol w:w="1842"/>
        <w:gridCol w:w="6946"/>
        <w:gridCol w:w="2126"/>
      </w:tblGrid>
      <w:tr w:rsidR="00B75C24" w:rsidRPr="008925CE" w14:paraId="1DAC462B" w14:textId="77777777" w:rsidTr="00A81116">
        <w:trPr>
          <w:trHeight w:val="1390"/>
          <w:tblHeader/>
        </w:trPr>
        <w:tc>
          <w:tcPr>
            <w:tcW w:w="2122" w:type="dxa"/>
            <w:shd w:val="clear" w:color="auto" w:fill="D9D9D9" w:themeFill="background1" w:themeFillShade="D9"/>
          </w:tcPr>
          <w:p w14:paraId="5E5AD732" w14:textId="77777777" w:rsidR="00B75C24" w:rsidRPr="008925CE" w:rsidRDefault="00B75C24" w:rsidP="00A81116">
            <w:pPr>
              <w:keepNext/>
              <w:tabs>
                <w:tab w:val="left" w:pos="567"/>
              </w:tabs>
              <w:spacing w:after="0"/>
              <w:ind w:right="-613"/>
              <w:jc w:val="left"/>
              <w:rPr>
                <w:rFonts w:ascii="Arial" w:hAnsi="Arial" w:cs="Arial"/>
                <w:b/>
              </w:rPr>
            </w:pPr>
            <w:r w:rsidRPr="008925CE">
              <w:rPr>
                <w:rFonts w:ascii="Arial" w:hAnsi="Arial" w:cs="Arial"/>
                <w:b/>
              </w:rPr>
              <w:t>Project Name</w:t>
            </w:r>
          </w:p>
        </w:tc>
        <w:tc>
          <w:tcPr>
            <w:tcW w:w="1701" w:type="dxa"/>
            <w:shd w:val="clear" w:color="auto" w:fill="D9D9D9" w:themeFill="background1" w:themeFillShade="D9"/>
          </w:tcPr>
          <w:p w14:paraId="3A3D18F2" w14:textId="77777777" w:rsidR="00A81116" w:rsidRDefault="00B75C24" w:rsidP="00A81116">
            <w:pPr>
              <w:keepNext/>
              <w:tabs>
                <w:tab w:val="left" w:pos="567"/>
              </w:tabs>
              <w:spacing w:after="0"/>
              <w:ind w:right="34"/>
              <w:jc w:val="left"/>
              <w:rPr>
                <w:rFonts w:ascii="Arial" w:hAnsi="Arial" w:cs="Arial"/>
                <w:b/>
              </w:rPr>
            </w:pPr>
            <w:r w:rsidRPr="008925CE">
              <w:rPr>
                <w:rFonts w:ascii="Arial" w:hAnsi="Arial" w:cs="Arial"/>
                <w:b/>
              </w:rPr>
              <w:t xml:space="preserve">Total value of the remaining budget </w:t>
            </w:r>
          </w:p>
          <w:p w14:paraId="5DFE88E2" w14:textId="54F2D407" w:rsidR="00B75C24" w:rsidRPr="008925CE" w:rsidRDefault="00B75C24" w:rsidP="00A81116">
            <w:pPr>
              <w:keepNext/>
              <w:tabs>
                <w:tab w:val="left" w:pos="567"/>
              </w:tabs>
              <w:spacing w:after="0"/>
              <w:ind w:right="176"/>
              <w:jc w:val="right"/>
              <w:rPr>
                <w:rFonts w:ascii="Arial" w:hAnsi="Arial" w:cs="Arial"/>
                <w:b/>
              </w:rPr>
            </w:pPr>
            <w:r w:rsidRPr="008925CE">
              <w:rPr>
                <w:rFonts w:ascii="Arial" w:hAnsi="Arial" w:cs="Arial"/>
                <w:b/>
              </w:rPr>
              <w:t>(£m)</w:t>
            </w:r>
          </w:p>
        </w:tc>
        <w:tc>
          <w:tcPr>
            <w:tcW w:w="1842" w:type="dxa"/>
            <w:shd w:val="clear" w:color="auto" w:fill="D9D9D9" w:themeFill="background1" w:themeFillShade="D9"/>
          </w:tcPr>
          <w:p w14:paraId="02BD01C4" w14:textId="77777777" w:rsidR="00A81116" w:rsidRDefault="00B75C24" w:rsidP="00A81116">
            <w:pPr>
              <w:keepNext/>
              <w:tabs>
                <w:tab w:val="left" w:pos="567"/>
              </w:tabs>
              <w:spacing w:after="0"/>
              <w:ind w:right="33"/>
              <w:jc w:val="left"/>
              <w:rPr>
                <w:rFonts w:ascii="Arial" w:hAnsi="Arial" w:cs="Arial"/>
                <w:b/>
              </w:rPr>
            </w:pPr>
            <w:r w:rsidRPr="008925CE">
              <w:rPr>
                <w:rFonts w:ascii="Arial" w:hAnsi="Arial" w:cs="Arial"/>
                <w:b/>
              </w:rPr>
              <w:t xml:space="preserve">Proposed value to be re-purposed </w:t>
            </w:r>
          </w:p>
          <w:p w14:paraId="46C235C8" w14:textId="77777777" w:rsidR="00A81116" w:rsidRDefault="00A81116" w:rsidP="00A81116">
            <w:pPr>
              <w:keepNext/>
              <w:tabs>
                <w:tab w:val="left" w:pos="567"/>
              </w:tabs>
              <w:spacing w:after="0"/>
              <w:ind w:right="33"/>
              <w:jc w:val="right"/>
              <w:rPr>
                <w:rFonts w:ascii="Arial" w:hAnsi="Arial" w:cs="Arial"/>
                <w:b/>
              </w:rPr>
            </w:pPr>
          </w:p>
          <w:p w14:paraId="08D626EA" w14:textId="15F2924C" w:rsidR="00B75C24" w:rsidRPr="008925CE" w:rsidRDefault="00A81116" w:rsidP="00A81116">
            <w:pPr>
              <w:keepNext/>
              <w:tabs>
                <w:tab w:val="left" w:pos="567"/>
              </w:tabs>
              <w:spacing w:after="0"/>
              <w:ind w:right="175"/>
              <w:jc w:val="right"/>
              <w:rPr>
                <w:rFonts w:ascii="Arial" w:hAnsi="Arial" w:cs="Arial"/>
                <w:b/>
              </w:rPr>
            </w:pPr>
            <w:r>
              <w:rPr>
                <w:rFonts w:ascii="Arial" w:hAnsi="Arial" w:cs="Arial"/>
                <w:b/>
              </w:rPr>
              <w:t>(</w:t>
            </w:r>
            <w:r w:rsidR="00B75C24" w:rsidRPr="008925CE">
              <w:rPr>
                <w:rFonts w:ascii="Arial" w:hAnsi="Arial" w:cs="Arial"/>
                <w:b/>
              </w:rPr>
              <w:t>£m)</w:t>
            </w:r>
          </w:p>
        </w:tc>
        <w:tc>
          <w:tcPr>
            <w:tcW w:w="6946" w:type="dxa"/>
            <w:shd w:val="clear" w:color="auto" w:fill="D9D9D9" w:themeFill="background1" w:themeFillShade="D9"/>
          </w:tcPr>
          <w:p w14:paraId="1A9F8633" w14:textId="77777777" w:rsidR="00B75C24" w:rsidRPr="008925CE" w:rsidRDefault="00B75C24" w:rsidP="00A81116">
            <w:pPr>
              <w:keepNext/>
              <w:tabs>
                <w:tab w:val="left" w:pos="567"/>
              </w:tabs>
              <w:spacing w:after="0"/>
              <w:ind w:right="-613"/>
              <w:jc w:val="left"/>
              <w:rPr>
                <w:rFonts w:ascii="Arial" w:hAnsi="Arial" w:cs="Arial"/>
                <w:b/>
              </w:rPr>
            </w:pPr>
            <w:r w:rsidRPr="008925CE">
              <w:rPr>
                <w:rFonts w:ascii="Arial" w:hAnsi="Arial" w:cs="Arial"/>
                <w:b/>
              </w:rPr>
              <w:t>Justification</w:t>
            </w:r>
          </w:p>
        </w:tc>
        <w:tc>
          <w:tcPr>
            <w:tcW w:w="2126" w:type="dxa"/>
            <w:shd w:val="clear" w:color="auto" w:fill="D9D9D9" w:themeFill="background1" w:themeFillShade="D9"/>
          </w:tcPr>
          <w:p w14:paraId="74EC05ED" w14:textId="77777777" w:rsidR="00B75C24" w:rsidRPr="008925CE" w:rsidRDefault="00B75C24" w:rsidP="00A81116">
            <w:pPr>
              <w:keepNext/>
              <w:tabs>
                <w:tab w:val="left" w:pos="567"/>
              </w:tabs>
              <w:spacing w:after="0"/>
              <w:jc w:val="left"/>
              <w:rPr>
                <w:rFonts w:ascii="Arial" w:hAnsi="Arial" w:cs="Arial"/>
                <w:b/>
              </w:rPr>
            </w:pPr>
            <w:r w:rsidRPr="008925CE">
              <w:rPr>
                <w:rFonts w:ascii="Arial" w:hAnsi="Arial" w:cs="Arial"/>
                <w:b/>
              </w:rPr>
              <w:t>Anticipated first call on future Integrated Transport Blocks</w:t>
            </w:r>
          </w:p>
        </w:tc>
      </w:tr>
      <w:tr w:rsidR="00B75C24" w:rsidRPr="008925CE" w14:paraId="5C43FA5D" w14:textId="77777777" w:rsidTr="00F835B2">
        <w:tc>
          <w:tcPr>
            <w:tcW w:w="2122" w:type="dxa"/>
          </w:tcPr>
          <w:p w14:paraId="750C96D7" w14:textId="77777777" w:rsidR="00B75C24" w:rsidRPr="008925CE" w:rsidRDefault="00B75C24" w:rsidP="00F835B2">
            <w:pPr>
              <w:tabs>
                <w:tab w:val="left" w:pos="567"/>
              </w:tabs>
              <w:ind w:right="34"/>
              <w:jc w:val="left"/>
              <w:rPr>
                <w:rFonts w:ascii="Arial" w:hAnsi="Arial" w:cs="Arial"/>
              </w:rPr>
            </w:pPr>
            <w:r w:rsidRPr="008925CE">
              <w:rPr>
                <w:rFonts w:ascii="Arial" w:hAnsi="Arial" w:cs="Arial"/>
              </w:rPr>
              <w:t>North Valley Road</w:t>
            </w:r>
          </w:p>
        </w:tc>
        <w:tc>
          <w:tcPr>
            <w:tcW w:w="1701" w:type="dxa"/>
          </w:tcPr>
          <w:p w14:paraId="7F03B149" w14:textId="3F615D29" w:rsidR="00B75C24" w:rsidRPr="008925CE" w:rsidRDefault="00B75C24" w:rsidP="00A81116">
            <w:pPr>
              <w:tabs>
                <w:tab w:val="left" w:pos="567"/>
              </w:tabs>
              <w:ind w:right="176"/>
              <w:jc w:val="right"/>
              <w:rPr>
                <w:rFonts w:ascii="Arial" w:hAnsi="Arial" w:cs="Arial"/>
              </w:rPr>
            </w:pPr>
            <w:r w:rsidRPr="008925CE">
              <w:rPr>
                <w:rFonts w:ascii="Arial" w:hAnsi="Arial" w:cs="Arial"/>
              </w:rPr>
              <w:t>1.700</w:t>
            </w:r>
          </w:p>
        </w:tc>
        <w:tc>
          <w:tcPr>
            <w:tcW w:w="1842" w:type="dxa"/>
          </w:tcPr>
          <w:p w14:paraId="4BB52F09" w14:textId="153FB980" w:rsidR="00B75C24" w:rsidRPr="008925CE" w:rsidRDefault="00B75C24" w:rsidP="00A81116">
            <w:pPr>
              <w:tabs>
                <w:tab w:val="left" w:pos="567"/>
              </w:tabs>
              <w:ind w:right="175"/>
              <w:jc w:val="right"/>
              <w:rPr>
                <w:rFonts w:ascii="Arial" w:hAnsi="Arial" w:cs="Arial"/>
              </w:rPr>
            </w:pPr>
            <w:r w:rsidRPr="008925CE">
              <w:rPr>
                <w:rFonts w:ascii="Arial" w:hAnsi="Arial" w:cs="Arial"/>
              </w:rPr>
              <w:t>1.286</w:t>
            </w:r>
          </w:p>
        </w:tc>
        <w:tc>
          <w:tcPr>
            <w:tcW w:w="6946" w:type="dxa"/>
          </w:tcPr>
          <w:p w14:paraId="00DA4D4E" w14:textId="77777777" w:rsidR="00B75C24" w:rsidRPr="008925CE" w:rsidRDefault="00B75C24" w:rsidP="00F835B2">
            <w:pPr>
              <w:tabs>
                <w:tab w:val="left" w:pos="567"/>
              </w:tabs>
              <w:jc w:val="left"/>
              <w:rPr>
                <w:rFonts w:ascii="Arial" w:hAnsi="Arial" w:cs="Arial"/>
              </w:rPr>
            </w:pPr>
            <w:r w:rsidRPr="008925CE">
              <w:rPr>
                <w:rFonts w:ascii="Arial" w:hAnsi="Arial" w:cs="Arial"/>
              </w:rPr>
              <w:t>The original scope of this scheme has been revised and this has reduced the budget required from £1.7 million to £1 million, of which £580k will be funded by the NPIF direct grant award of £4.655 million</w:t>
            </w:r>
            <w:r>
              <w:rPr>
                <w:rFonts w:ascii="Arial" w:hAnsi="Arial" w:cs="Arial"/>
              </w:rPr>
              <w:t>.</w:t>
            </w:r>
            <w:r w:rsidRPr="008925CE">
              <w:rPr>
                <w:rFonts w:ascii="Arial" w:hAnsi="Arial" w:cs="Arial"/>
              </w:rPr>
              <w:t xml:space="preserve"> Therefore a reduced allocation of £0.414 million is required from the previously approved allocation leaving £1.286million available to repurpose.</w:t>
            </w:r>
          </w:p>
        </w:tc>
        <w:tc>
          <w:tcPr>
            <w:tcW w:w="2126" w:type="dxa"/>
          </w:tcPr>
          <w:p w14:paraId="51D4656D" w14:textId="77777777" w:rsidR="00B75C24" w:rsidRPr="008925CE" w:rsidRDefault="00B75C24" w:rsidP="00F835B2">
            <w:pPr>
              <w:tabs>
                <w:tab w:val="left" w:pos="567"/>
              </w:tabs>
              <w:ind w:right="-613"/>
              <w:jc w:val="left"/>
              <w:rPr>
                <w:rFonts w:ascii="Arial" w:hAnsi="Arial" w:cs="Arial"/>
              </w:rPr>
            </w:pPr>
            <w:r w:rsidRPr="008925CE">
              <w:rPr>
                <w:rFonts w:ascii="Arial" w:hAnsi="Arial" w:cs="Arial"/>
              </w:rPr>
              <w:t>N/A</w:t>
            </w:r>
          </w:p>
        </w:tc>
      </w:tr>
      <w:tr w:rsidR="00B75C24" w:rsidRPr="008925CE" w14:paraId="4E28A563" w14:textId="77777777" w:rsidTr="00F835B2">
        <w:tc>
          <w:tcPr>
            <w:tcW w:w="2122" w:type="dxa"/>
          </w:tcPr>
          <w:p w14:paraId="36E89914" w14:textId="77777777" w:rsidR="00B75C24" w:rsidRPr="008925CE" w:rsidRDefault="00B75C24" w:rsidP="00F835B2">
            <w:pPr>
              <w:tabs>
                <w:tab w:val="left" w:pos="567"/>
              </w:tabs>
              <w:spacing w:after="0"/>
              <w:ind w:right="34"/>
              <w:jc w:val="left"/>
              <w:rPr>
                <w:rFonts w:ascii="Arial" w:hAnsi="Arial" w:cs="Arial"/>
              </w:rPr>
            </w:pPr>
            <w:r w:rsidRPr="008925CE">
              <w:rPr>
                <w:rFonts w:ascii="Arial" w:hAnsi="Arial" w:cs="Arial"/>
              </w:rPr>
              <w:t>Ormskirk Congestion Relief</w:t>
            </w:r>
          </w:p>
        </w:tc>
        <w:tc>
          <w:tcPr>
            <w:tcW w:w="1701" w:type="dxa"/>
          </w:tcPr>
          <w:p w14:paraId="14455F32" w14:textId="2928800B" w:rsidR="00B75C24" w:rsidRPr="008925CE" w:rsidRDefault="00B75C24" w:rsidP="00A81116">
            <w:pPr>
              <w:tabs>
                <w:tab w:val="left" w:pos="567"/>
              </w:tabs>
              <w:spacing w:after="0"/>
              <w:ind w:right="176"/>
              <w:jc w:val="right"/>
              <w:rPr>
                <w:rFonts w:ascii="Arial" w:hAnsi="Arial" w:cs="Arial"/>
              </w:rPr>
            </w:pPr>
            <w:r w:rsidRPr="008925CE">
              <w:rPr>
                <w:rFonts w:ascii="Arial" w:hAnsi="Arial" w:cs="Arial"/>
              </w:rPr>
              <w:t>0.990</w:t>
            </w:r>
          </w:p>
        </w:tc>
        <w:tc>
          <w:tcPr>
            <w:tcW w:w="1842" w:type="dxa"/>
          </w:tcPr>
          <w:p w14:paraId="4461CD37" w14:textId="11C4DCD9" w:rsidR="00B75C24" w:rsidRPr="008925CE" w:rsidRDefault="00B75C24" w:rsidP="00A81116">
            <w:pPr>
              <w:tabs>
                <w:tab w:val="left" w:pos="567"/>
              </w:tabs>
              <w:spacing w:after="0"/>
              <w:ind w:right="175"/>
              <w:jc w:val="right"/>
              <w:rPr>
                <w:rFonts w:ascii="Arial" w:hAnsi="Arial" w:cs="Arial"/>
              </w:rPr>
            </w:pPr>
            <w:r w:rsidRPr="008925CE">
              <w:rPr>
                <w:rFonts w:ascii="Arial" w:hAnsi="Arial" w:cs="Arial"/>
              </w:rPr>
              <w:t>0.840</w:t>
            </w:r>
          </w:p>
        </w:tc>
        <w:tc>
          <w:tcPr>
            <w:tcW w:w="6946" w:type="dxa"/>
          </w:tcPr>
          <w:p w14:paraId="770A9ED4" w14:textId="1D05C4AA" w:rsidR="00B75C24" w:rsidRPr="008925CE" w:rsidRDefault="00B75C24" w:rsidP="00F835B2">
            <w:pPr>
              <w:tabs>
                <w:tab w:val="left" w:pos="567"/>
              </w:tabs>
              <w:spacing w:after="0"/>
              <w:rPr>
                <w:rFonts w:ascii="Arial" w:hAnsi="Arial" w:cs="Arial"/>
              </w:rPr>
            </w:pPr>
            <w:r w:rsidRPr="008925CE">
              <w:rPr>
                <w:rFonts w:ascii="Arial" w:hAnsi="Arial" w:cs="Arial"/>
              </w:rPr>
              <w:t xml:space="preserve">The original allocation was approved to undertake physical improvement to relieve congestion in Ormskirk town centre. However, until the Ormskirk Movement Strategy has been </w:t>
            </w:r>
            <w:r w:rsidRPr="008925CE">
              <w:rPr>
                <w:rFonts w:ascii="Arial" w:hAnsi="Arial" w:cs="Arial"/>
              </w:rPr>
              <w:lastRenderedPageBreak/>
              <w:t xml:space="preserve">completed, a programme of works cannot be developed.  It is therefore proposed that the approved allocation is reduced to £0.150 million to fund the development of an Ormskirk Movement Strategy leaving £0.840 million available for re-purposing. </w:t>
            </w:r>
            <w:r w:rsidR="00F835B2">
              <w:rPr>
                <w:rFonts w:ascii="Arial" w:hAnsi="Arial" w:cs="Arial"/>
              </w:rPr>
              <w:t xml:space="preserve"> </w:t>
            </w:r>
            <w:r w:rsidRPr="008925CE">
              <w:rPr>
                <w:rFonts w:ascii="Arial" w:hAnsi="Arial" w:cs="Arial"/>
              </w:rPr>
              <w:t>It is proposed that physical works are considered for funding in future years.</w:t>
            </w:r>
          </w:p>
        </w:tc>
        <w:tc>
          <w:tcPr>
            <w:tcW w:w="2126" w:type="dxa"/>
            <w:shd w:val="clear" w:color="auto" w:fill="auto"/>
          </w:tcPr>
          <w:p w14:paraId="6D7C21C6" w14:textId="77777777" w:rsidR="00B75C24" w:rsidRPr="008925CE" w:rsidRDefault="00B75C24" w:rsidP="00F835B2">
            <w:pPr>
              <w:tabs>
                <w:tab w:val="left" w:pos="567"/>
              </w:tabs>
              <w:spacing w:after="0"/>
              <w:ind w:right="-613"/>
              <w:jc w:val="left"/>
              <w:rPr>
                <w:rFonts w:ascii="Arial" w:hAnsi="Arial" w:cs="Arial"/>
              </w:rPr>
            </w:pPr>
            <w:r w:rsidRPr="008925CE">
              <w:rPr>
                <w:rFonts w:ascii="Arial" w:hAnsi="Arial" w:cs="Arial"/>
              </w:rPr>
              <w:lastRenderedPageBreak/>
              <w:t>2021/22</w:t>
            </w:r>
          </w:p>
        </w:tc>
      </w:tr>
      <w:tr w:rsidR="00B75C24" w:rsidRPr="008925CE" w14:paraId="0C39E7C1" w14:textId="77777777" w:rsidTr="00F835B2">
        <w:tc>
          <w:tcPr>
            <w:tcW w:w="2122" w:type="dxa"/>
          </w:tcPr>
          <w:p w14:paraId="085D9591" w14:textId="77777777" w:rsidR="00B75C24" w:rsidRPr="008925CE" w:rsidRDefault="00B75C24" w:rsidP="00F835B2">
            <w:pPr>
              <w:tabs>
                <w:tab w:val="left" w:pos="567"/>
              </w:tabs>
              <w:spacing w:after="0"/>
              <w:ind w:right="34"/>
              <w:jc w:val="left"/>
              <w:rPr>
                <w:rFonts w:ascii="Arial" w:hAnsi="Arial" w:cs="Arial"/>
              </w:rPr>
            </w:pPr>
            <w:r w:rsidRPr="008925CE">
              <w:rPr>
                <w:rFonts w:ascii="Arial" w:hAnsi="Arial" w:cs="Arial"/>
              </w:rPr>
              <w:t>Skelmersdale Public Realm and Highway Improvements</w:t>
            </w:r>
          </w:p>
        </w:tc>
        <w:tc>
          <w:tcPr>
            <w:tcW w:w="1701" w:type="dxa"/>
          </w:tcPr>
          <w:p w14:paraId="093FA3E9" w14:textId="23E96D3B" w:rsidR="00B75C24" w:rsidRPr="008925CE" w:rsidRDefault="00B75C24" w:rsidP="00F835B2">
            <w:pPr>
              <w:tabs>
                <w:tab w:val="left" w:pos="567"/>
              </w:tabs>
              <w:spacing w:after="0"/>
              <w:ind w:right="176"/>
              <w:jc w:val="right"/>
              <w:rPr>
                <w:rFonts w:ascii="Arial" w:hAnsi="Arial" w:cs="Arial"/>
              </w:rPr>
            </w:pPr>
            <w:r w:rsidRPr="008925CE">
              <w:rPr>
                <w:rFonts w:ascii="Arial" w:hAnsi="Arial" w:cs="Arial"/>
              </w:rPr>
              <w:t>0.300</w:t>
            </w:r>
          </w:p>
        </w:tc>
        <w:tc>
          <w:tcPr>
            <w:tcW w:w="1842" w:type="dxa"/>
          </w:tcPr>
          <w:p w14:paraId="697FD904" w14:textId="4D1033CB" w:rsidR="00B75C24" w:rsidRPr="008925CE" w:rsidRDefault="00B75C24" w:rsidP="00F835B2">
            <w:pPr>
              <w:tabs>
                <w:tab w:val="left" w:pos="567"/>
              </w:tabs>
              <w:spacing w:after="0"/>
              <w:ind w:right="175"/>
              <w:jc w:val="right"/>
              <w:rPr>
                <w:rFonts w:ascii="Arial" w:hAnsi="Arial" w:cs="Arial"/>
              </w:rPr>
            </w:pPr>
            <w:r w:rsidRPr="008925CE">
              <w:rPr>
                <w:rFonts w:ascii="Arial" w:hAnsi="Arial" w:cs="Arial"/>
              </w:rPr>
              <w:t>0.300</w:t>
            </w:r>
          </w:p>
        </w:tc>
        <w:tc>
          <w:tcPr>
            <w:tcW w:w="6946" w:type="dxa"/>
          </w:tcPr>
          <w:p w14:paraId="68B55135" w14:textId="0156644F" w:rsidR="00B75C24" w:rsidRPr="008925CE" w:rsidRDefault="00B75C24" w:rsidP="00F835B2">
            <w:pPr>
              <w:tabs>
                <w:tab w:val="left" w:pos="567"/>
              </w:tabs>
              <w:spacing w:after="0"/>
              <w:rPr>
                <w:rFonts w:ascii="Arial" w:hAnsi="Arial" w:cs="Arial"/>
              </w:rPr>
            </w:pPr>
            <w:r w:rsidRPr="008925CE">
              <w:rPr>
                <w:rFonts w:ascii="Arial" w:hAnsi="Arial" w:cs="Arial"/>
              </w:rPr>
              <w:t xml:space="preserve">This work cannot be programmed until the works relating to the Skelmersdale Rail Link have been completed. </w:t>
            </w:r>
            <w:r w:rsidR="00F835B2">
              <w:rPr>
                <w:rFonts w:ascii="Arial" w:hAnsi="Arial" w:cs="Arial"/>
              </w:rPr>
              <w:t xml:space="preserve"> </w:t>
            </w:r>
            <w:r w:rsidRPr="008925CE">
              <w:rPr>
                <w:rFonts w:ascii="Arial" w:hAnsi="Arial" w:cs="Arial"/>
              </w:rPr>
              <w:t>The impact of this is that any improvements cannot be programmed until 2023/24.</w:t>
            </w:r>
          </w:p>
        </w:tc>
        <w:tc>
          <w:tcPr>
            <w:tcW w:w="2126" w:type="dxa"/>
          </w:tcPr>
          <w:p w14:paraId="0EF94788" w14:textId="77777777" w:rsidR="00B75C24" w:rsidRPr="008925CE" w:rsidRDefault="00B75C24" w:rsidP="00F835B2">
            <w:pPr>
              <w:tabs>
                <w:tab w:val="left" w:pos="567"/>
              </w:tabs>
              <w:spacing w:after="0"/>
              <w:ind w:right="-613"/>
              <w:jc w:val="left"/>
              <w:rPr>
                <w:rFonts w:ascii="Arial" w:hAnsi="Arial" w:cs="Arial"/>
              </w:rPr>
            </w:pPr>
            <w:r w:rsidRPr="008925CE">
              <w:rPr>
                <w:rFonts w:ascii="Arial" w:hAnsi="Arial" w:cs="Arial"/>
              </w:rPr>
              <w:t>2023/24</w:t>
            </w:r>
          </w:p>
        </w:tc>
      </w:tr>
      <w:tr w:rsidR="00B75C24" w:rsidRPr="008925CE" w14:paraId="474E5589" w14:textId="77777777" w:rsidTr="00F835B2">
        <w:tc>
          <w:tcPr>
            <w:tcW w:w="2122" w:type="dxa"/>
          </w:tcPr>
          <w:p w14:paraId="247C8532" w14:textId="77777777" w:rsidR="00B75C24" w:rsidRPr="008925CE" w:rsidRDefault="00B75C24" w:rsidP="00F835B2">
            <w:pPr>
              <w:tabs>
                <w:tab w:val="left" w:pos="567"/>
              </w:tabs>
              <w:spacing w:after="0"/>
              <w:ind w:right="34"/>
              <w:jc w:val="left"/>
              <w:rPr>
                <w:rFonts w:ascii="Arial" w:hAnsi="Arial" w:cs="Arial"/>
              </w:rPr>
            </w:pPr>
            <w:r w:rsidRPr="008925CE">
              <w:rPr>
                <w:rFonts w:ascii="Arial" w:hAnsi="Arial" w:cs="Arial"/>
              </w:rPr>
              <w:t>Green Lane Link Tarleton</w:t>
            </w:r>
          </w:p>
        </w:tc>
        <w:tc>
          <w:tcPr>
            <w:tcW w:w="1701" w:type="dxa"/>
          </w:tcPr>
          <w:p w14:paraId="580E9DD6" w14:textId="6C2A74A2" w:rsidR="00B75C24" w:rsidRPr="008925CE" w:rsidRDefault="00B75C24" w:rsidP="00F835B2">
            <w:pPr>
              <w:tabs>
                <w:tab w:val="left" w:pos="567"/>
              </w:tabs>
              <w:spacing w:after="0"/>
              <w:ind w:right="176"/>
              <w:jc w:val="right"/>
              <w:rPr>
                <w:rFonts w:ascii="Arial" w:hAnsi="Arial" w:cs="Arial"/>
              </w:rPr>
            </w:pPr>
            <w:r w:rsidRPr="008925CE">
              <w:rPr>
                <w:rFonts w:ascii="Arial" w:hAnsi="Arial" w:cs="Arial"/>
              </w:rPr>
              <w:t>1.090</w:t>
            </w:r>
          </w:p>
        </w:tc>
        <w:tc>
          <w:tcPr>
            <w:tcW w:w="1842" w:type="dxa"/>
          </w:tcPr>
          <w:p w14:paraId="43CA104E" w14:textId="019FD7E7" w:rsidR="00B75C24" w:rsidRPr="008925CE" w:rsidRDefault="00B75C24" w:rsidP="00F835B2">
            <w:pPr>
              <w:tabs>
                <w:tab w:val="left" w:pos="567"/>
              </w:tabs>
              <w:spacing w:after="0"/>
              <w:ind w:right="175"/>
              <w:jc w:val="right"/>
              <w:rPr>
                <w:rFonts w:ascii="Arial" w:hAnsi="Arial" w:cs="Arial"/>
              </w:rPr>
            </w:pPr>
            <w:r w:rsidRPr="008925CE">
              <w:rPr>
                <w:rFonts w:ascii="Arial" w:hAnsi="Arial" w:cs="Arial"/>
              </w:rPr>
              <w:t>1.090</w:t>
            </w:r>
          </w:p>
        </w:tc>
        <w:tc>
          <w:tcPr>
            <w:tcW w:w="6946" w:type="dxa"/>
          </w:tcPr>
          <w:p w14:paraId="39E059F3" w14:textId="097B2681" w:rsidR="00B75C24" w:rsidRPr="008925CE" w:rsidRDefault="00B75C24" w:rsidP="00F835B2">
            <w:pPr>
              <w:tabs>
                <w:tab w:val="left" w:pos="567"/>
              </w:tabs>
              <w:spacing w:after="0"/>
              <w:rPr>
                <w:rFonts w:ascii="Arial" w:hAnsi="Arial" w:cs="Arial"/>
              </w:rPr>
            </w:pPr>
            <w:r w:rsidRPr="008925CE">
              <w:rPr>
                <w:rFonts w:ascii="Arial" w:hAnsi="Arial" w:cs="Arial"/>
              </w:rPr>
              <w:t xml:space="preserve">This scheme has been in the programme since 2012/13. Although not viewed as a transport priority from an officer perspective, there has been some political pressure to deliver this scheme. </w:t>
            </w:r>
            <w:r w:rsidR="00F835B2">
              <w:rPr>
                <w:rFonts w:ascii="Arial" w:hAnsi="Arial" w:cs="Arial"/>
              </w:rPr>
              <w:t xml:space="preserve"> </w:t>
            </w:r>
            <w:r w:rsidRPr="008925CE">
              <w:rPr>
                <w:rFonts w:ascii="Arial" w:hAnsi="Arial" w:cs="Arial"/>
              </w:rPr>
              <w:t xml:space="preserve">However, the latest estimated cost is approximately £5 million which is far in excess of the approved allocation. </w:t>
            </w:r>
            <w:r w:rsidR="00F835B2">
              <w:rPr>
                <w:rFonts w:ascii="Arial" w:hAnsi="Arial" w:cs="Arial"/>
              </w:rPr>
              <w:t xml:space="preserve"> </w:t>
            </w:r>
            <w:r w:rsidRPr="008925CE">
              <w:rPr>
                <w:rFonts w:ascii="Arial" w:hAnsi="Arial" w:cs="Arial"/>
              </w:rPr>
              <w:t>It is proposed that this funding is re-purposed and considered for future funding, subject to political approval.</w:t>
            </w:r>
          </w:p>
        </w:tc>
        <w:tc>
          <w:tcPr>
            <w:tcW w:w="2126" w:type="dxa"/>
          </w:tcPr>
          <w:p w14:paraId="6EE7A268" w14:textId="77777777" w:rsidR="00B75C24" w:rsidRPr="008925CE" w:rsidRDefault="00B75C24" w:rsidP="00F835B2">
            <w:pPr>
              <w:tabs>
                <w:tab w:val="left" w:pos="567"/>
              </w:tabs>
              <w:spacing w:after="0"/>
              <w:ind w:right="-613"/>
              <w:jc w:val="left"/>
              <w:rPr>
                <w:rFonts w:ascii="Arial" w:hAnsi="Arial" w:cs="Arial"/>
              </w:rPr>
            </w:pPr>
            <w:r w:rsidRPr="008925CE">
              <w:rPr>
                <w:rFonts w:ascii="Arial" w:hAnsi="Arial" w:cs="Arial"/>
              </w:rPr>
              <w:t>2022/23</w:t>
            </w:r>
          </w:p>
        </w:tc>
      </w:tr>
      <w:tr w:rsidR="00B75C24" w:rsidRPr="008925CE" w14:paraId="34944725" w14:textId="77777777" w:rsidTr="00F835B2">
        <w:tc>
          <w:tcPr>
            <w:tcW w:w="2122" w:type="dxa"/>
          </w:tcPr>
          <w:p w14:paraId="23343606" w14:textId="77777777" w:rsidR="00B75C24" w:rsidRPr="008925CE" w:rsidRDefault="00B75C24" w:rsidP="00F835B2">
            <w:pPr>
              <w:tabs>
                <w:tab w:val="left" w:pos="567"/>
              </w:tabs>
              <w:spacing w:after="0"/>
              <w:ind w:right="34"/>
              <w:jc w:val="left"/>
              <w:rPr>
                <w:rFonts w:ascii="Arial" w:hAnsi="Arial" w:cs="Arial"/>
              </w:rPr>
            </w:pPr>
            <w:r w:rsidRPr="008925CE">
              <w:rPr>
                <w:rFonts w:ascii="Arial" w:hAnsi="Arial" w:cs="Arial"/>
              </w:rPr>
              <w:t>Tarleton Bridge</w:t>
            </w:r>
          </w:p>
        </w:tc>
        <w:tc>
          <w:tcPr>
            <w:tcW w:w="1701" w:type="dxa"/>
          </w:tcPr>
          <w:p w14:paraId="25094213" w14:textId="33C96224" w:rsidR="00B75C24" w:rsidRPr="008925CE" w:rsidRDefault="00B75C24" w:rsidP="00F835B2">
            <w:pPr>
              <w:tabs>
                <w:tab w:val="left" w:pos="567"/>
              </w:tabs>
              <w:spacing w:after="0"/>
              <w:ind w:right="176"/>
              <w:jc w:val="right"/>
              <w:rPr>
                <w:rFonts w:ascii="Arial" w:hAnsi="Arial" w:cs="Arial"/>
              </w:rPr>
            </w:pPr>
            <w:r w:rsidRPr="008925CE">
              <w:rPr>
                <w:rFonts w:ascii="Arial" w:hAnsi="Arial" w:cs="Arial"/>
              </w:rPr>
              <w:t>0.500</w:t>
            </w:r>
          </w:p>
        </w:tc>
        <w:tc>
          <w:tcPr>
            <w:tcW w:w="1842" w:type="dxa"/>
          </w:tcPr>
          <w:p w14:paraId="6F3887B9" w14:textId="4FC6C4B0" w:rsidR="00B75C24" w:rsidRPr="008925CE" w:rsidRDefault="00B75C24" w:rsidP="00F835B2">
            <w:pPr>
              <w:tabs>
                <w:tab w:val="left" w:pos="567"/>
              </w:tabs>
              <w:spacing w:after="0"/>
              <w:ind w:right="175"/>
              <w:jc w:val="right"/>
              <w:rPr>
                <w:rFonts w:ascii="Arial" w:hAnsi="Arial" w:cs="Arial"/>
              </w:rPr>
            </w:pPr>
            <w:r w:rsidRPr="008925CE">
              <w:rPr>
                <w:rFonts w:ascii="Arial" w:hAnsi="Arial" w:cs="Arial"/>
              </w:rPr>
              <w:t>0.500</w:t>
            </w:r>
          </w:p>
        </w:tc>
        <w:tc>
          <w:tcPr>
            <w:tcW w:w="6946" w:type="dxa"/>
          </w:tcPr>
          <w:p w14:paraId="66BBC695" w14:textId="6FF31F06" w:rsidR="00B75C24" w:rsidRPr="008925CE" w:rsidRDefault="00B75C24" w:rsidP="006F4CCE">
            <w:pPr>
              <w:tabs>
                <w:tab w:val="left" w:pos="567"/>
              </w:tabs>
              <w:spacing w:after="0"/>
              <w:rPr>
                <w:rFonts w:ascii="Arial" w:hAnsi="Arial" w:cs="Arial"/>
              </w:rPr>
            </w:pPr>
            <w:r w:rsidRPr="008925CE">
              <w:rPr>
                <w:rFonts w:ascii="Arial" w:hAnsi="Arial" w:cs="Arial"/>
              </w:rPr>
              <w:t xml:space="preserve">Surfacing improvements have been delivered to reduce accidents occurring at this location. </w:t>
            </w:r>
            <w:r w:rsidR="00F835B2">
              <w:rPr>
                <w:rFonts w:ascii="Arial" w:hAnsi="Arial" w:cs="Arial"/>
              </w:rPr>
              <w:t xml:space="preserve"> </w:t>
            </w:r>
            <w:r w:rsidRPr="008925CE">
              <w:rPr>
                <w:rFonts w:ascii="Arial" w:hAnsi="Arial" w:cs="Arial"/>
              </w:rPr>
              <w:t xml:space="preserve">The Highways team is satisfied that the immediate issues around collision incidents have been resolved by works to date. </w:t>
            </w:r>
            <w:r w:rsidR="00F835B2">
              <w:rPr>
                <w:rFonts w:ascii="Arial" w:hAnsi="Arial" w:cs="Arial"/>
              </w:rPr>
              <w:t xml:space="preserve"> </w:t>
            </w:r>
            <w:r w:rsidRPr="008925CE">
              <w:rPr>
                <w:rFonts w:ascii="Arial" w:hAnsi="Arial" w:cs="Arial"/>
              </w:rPr>
              <w:t>The long term issue concerning the capacity and resilience of this route as a major radial route serving Preston to the north and other towns and service centres to the south and west, still need addressing. Any likely solution will require significantly more funding in the future. It is therefore proposed to re-purpose this allocation and monitor.</w:t>
            </w:r>
          </w:p>
        </w:tc>
        <w:tc>
          <w:tcPr>
            <w:tcW w:w="2126" w:type="dxa"/>
          </w:tcPr>
          <w:p w14:paraId="4CBE1E11" w14:textId="77777777" w:rsidR="00B75C24" w:rsidRPr="008925CE" w:rsidRDefault="00B75C24" w:rsidP="00F835B2">
            <w:pPr>
              <w:tabs>
                <w:tab w:val="left" w:pos="567"/>
              </w:tabs>
              <w:spacing w:after="0"/>
              <w:ind w:right="-613"/>
              <w:jc w:val="left"/>
              <w:rPr>
                <w:rFonts w:ascii="Arial" w:hAnsi="Arial" w:cs="Arial"/>
              </w:rPr>
            </w:pPr>
            <w:r w:rsidRPr="008925CE">
              <w:rPr>
                <w:rFonts w:ascii="Arial" w:hAnsi="Arial" w:cs="Arial"/>
              </w:rPr>
              <w:t>2022/23</w:t>
            </w:r>
          </w:p>
        </w:tc>
      </w:tr>
      <w:tr w:rsidR="00B75C24" w:rsidRPr="008925CE" w14:paraId="39E0EAAC" w14:textId="77777777" w:rsidTr="00F835B2">
        <w:tc>
          <w:tcPr>
            <w:tcW w:w="2122" w:type="dxa"/>
          </w:tcPr>
          <w:p w14:paraId="377A2F88" w14:textId="77777777" w:rsidR="00B75C24" w:rsidRPr="008925CE" w:rsidRDefault="00B75C24" w:rsidP="00F835B2">
            <w:pPr>
              <w:tabs>
                <w:tab w:val="left" w:pos="567"/>
              </w:tabs>
              <w:spacing w:after="0"/>
              <w:ind w:right="34"/>
              <w:jc w:val="left"/>
              <w:rPr>
                <w:rFonts w:ascii="Arial" w:hAnsi="Arial" w:cs="Arial"/>
              </w:rPr>
            </w:pPr>
            <w:r w:rsidRPr="008925CE">
              <w:rPr>
                <w:rFonts w:ascii="Arial" w:hAnsi="Arial" w:cs="Arial"/>
              </w:rPr>
              <w:lastRenderedPageBreak/>
              <w:t>Hala Road Junction</w:t>
            </w:r>
          </w:p>
        </w:tc>
        <w:tc>
          <w:tcPr>
            <w:tcW w:w="1701" w:type="dxa"/>
          </w:tcPr>
          <w:p w14:paraId="657E4D1F" w14:textId="177463F7" w:rsidR="00B75C24" w:rsidRPr="008925CE" w:rsidRDefault="00B75C24" w:rsidP="00A81116">
            <w:pPr>
              <w:tabs>
                <w:tab w:val="left" w:pos="567"/>
              </w:tabs>
              <w:spacing w:after="0"/>
              <w:ind w:right="176"/>
              <w:jc w:val="right"/>
              <w:rPr>
                <w:rFonts w:ascii="Arial" w:hAnsi="Arial" w:cs="Arial"/>
              </w:rPr>
            </w:pPr>
            <w:r w:rsidRPr="008925CE">
              <w:rPr>
                <w:rFonts w:ascii="Arial" w:hAnsi="Arial" w:cs="Arial"/>
              </w:rPr>
              <w:t>0.700</w:t>
            </w:r>
          </w:p>
        </w:tc>
        <w:tc>
          <w:tcPr>
            <w:tcW w:w="1842" w:type="dxa"/>
          </w:tcPr>
          <w:p w14:paraId="39617A80" w14:textId="672BADE8" w:rsidR="00B75C24" w:rsidRPr="008925CE" w:rsidRDefault="00B75C24" w:rsidP="00A81116">
            <w:pPr>
              <w:tabs>
                <w:tab w:val="left" w:pos="567"/>
              </w:tabs>
              <w:spacing w:after="0"/>
              <w:ind w:right="176"/>
              <w:jc w:val="right"/>
              <w:rPr>
                <w:rFonts w:ascii="Arial" w:hAnsi="Arial" w:cs="Arial"/>
              </w:rPr>
            </w:pPr>
            <w:r w:rsidRPr="008925CE">
              <w:rPr>
                <w:rFonts w:ascii="Arial" w:hAnsi="Arial" w:cs="Arial"/>
              </w:rPr>
              <w:t>0.600</w:t>
            </w:r>
          </w:p>
        </w:tc>
        <w:tc>
          <w:tcPr>
            <w:tcW w:w="6946" w:type="dxa"/>
          </w:tcPr>
          <w:p w14:paraId="6BA54AFA" w14:textId="4BF020E8" w:rsidR="00B75C24" w:rsidRPr="008925CE" w:rsidRDefault="00B75C24" w:rsidP="006F4CCE">
            <w:pPr>
              <w:tabs>
                <w:tab w:val="left" w:pos="567"/>
              </w:tabs>
              <w:spacing w:after="0"/>
              <w:rPr>
                <w:rFonts w:ascii="Arial" w:hAnsi="Arial" w:cs="Arial"/>
              </w:rPr>
            </w:pPr>
            <w:r w:rsidRPr="008925CE">
              <w:rPr>
                <w:rFonts w:ascii="Arial" w:hAnsi="Arial" w:cs="Arial"/>
              </w:rPr>
              <w:t>The approved allocation was intended to design and deliver junction improvements.</w:t>
            </w:r>
            <w:r w:rsidR="006F4CCE">
              <w:rPr>
                <w:rFonts w:ascii="Arial" w:hAnsi="Arial" w:cs="Arial"/>
              </w:rPr>
              <w:t xml:space="preserve"> </w:t>
            </w:r>
            <w:r w:rsidRPr="008925CE">
              <w:rPr>
                <w:rFonts w:ascii="Arial" w:hAnsi="Arial" w:cs="Arial"/>
              </w:rPr>
              <w:t xml:space="preserve"> However, the design of the junction will be affected by the proposed Bailrigg Garden Village development and this has delayed the design and delivery. </w:t>
            </w:r>
            <w:r w:rsidR="006F4CCE">
              <w:rPr>
                <w:rFonts w:ascii="Arial" w:hAnsi="Arial" w:cs="Arial"/>
              </w:rPr>
              <w:t xml:space="preserve"> </w:t>
            </w:r>
            <w:r w:rsidRPr="008925CE">
              <w:rPr>
                <w:rFonts w:ascii="Arial" w:hAnsi="Arial" w:cs="Arial"/>
              </w:rPr>
              <w:t>It is proposed that the allocation be reduced to £100k to facilitate design and the allocation reduced by £0.600m as delivery is unlikely for a number of years.</w:t>
            </w:r>
          </w:p>
        </w:tc>
        <w:tc>
          <w:tcPr>
            <w:tcW w:w="2126" w:type="dxa"/>
          </w:tcPr>
          <w:p w14:paraId="3F3A47CA" w14:textId="77777777" w:rsidR="00B75C24" w:rsidRPr="008925CE" w:rsidRDefault="00B75C24" w:rsidP="00F835B2">
            <w:pPr>
              <w:tabs>
                <w:tab w:val="left" w:pos="567"/>
              </w:tabs>
              <w:spacing w:after="0"/>
              <w:ind w:right="-613"/>
              <w:jc w:val="left"/>
              <w:rPr>
                <w:rFonts w:ascii="Arial" w:hAnsi="Arial" w:cs="Arial"/>
              </w:rPr>
            </w:pPr>
            <w:r w:rsidRPr="008925CE">
              <w:rPr>
                <w:rFonts w:ascii="Arial" w:hAnsi="Arial" w:cs="Arial"/>
              </w:rPr>
              <w:t>2020/21</w:t>
            </w:r>
          </w:p>
        </w:tc>
      </w:tr>
      <w:tr w:rsidR="00B75C24" w:rsidRPr="008925CE" w14:paraId="6FCF7282" w14:textId="77777777" w:rsidTr="00F835B2">
        <w:tc>
          <w:tcPr>
            <w:tcW w:w="2122" w:type="dxa"/>
          </w:tcPr>
          <w:p w14:paraId="04979D9B" w14:textId="77777777" w:rsidR="00B75C24" w:rsidRPr="008925CE" w:rsidRDefault="00B75C24" w:rsidP="00F835B2">
            <w:pPr>
              <w:tabs>
                <w:tab w:val="left" w:pos="567"/>
              </w:tabs>
              <w:spacing w:after="0"/>
              <w:ind w:right="34"/>
              <w:jc w:val="left"/>
              <w:rPr>
                <w:rFonts w:ascii="Arial" w:hAnsi="Arial" w:cs="Arial"/>
              </w:rPr>
            </w:pPr>
            <w:r w:rsidRPr="008925CE">
              <w:rPr>
                <w:rFonts w:ascii="Arial" w:hAnsi="Arial" w:cs="Arial"/>
              </w:rPr>
              <w:t>Ribble Valley Growth Corridor</w:t>
            </w:r>
          </w:p>
        </w:tc>
        <w:tc>
          <w:tcPr>
            <w:tcW w:w="1701" w:type="dxa"/>
          </w:tcPr>
          <w:p w14:paraId="478603F9" w14:textId="11BB7972" w:rsidR="00B75C24" w:rsidRPr="008925CE" w:rsidRDefault="00B75C24" w:rsidP="00A81116">
            <w:pPr>
              <w:tabs>
                <w:tab w:val="left" w:pos="567"/>
              </w:tabs>
              <w:spacing w:after="0"/>
              <w:ind w:right="176"/>
              <w:jc w:val="right"/>
              <w:rPr>
                <w:rFonts w:ascii="Arial" w:hAnsi="Arial" w:cs="Arial"/>
              </w:rPr>
            </w:pPr>
            <w:r w:rsidRPr="008925CE">
              <w:rPr>
                <w:rFonts w:ascii="Arial" w:hAnsi="Arial" w:cs="Arial"/>
              </w:rPr>
              <w:t>0.970</w:t>
            </w:r>
          </w:p>
        </w:tc>
        <w:tc>
          <w:tcPr>
            <w:tcW w:w="1842" w:type="dxa"/>
          </w:tcPr>
          <w:p w14:paraId="7B5337ED" w14:textId="602ECDEC" w:rsidR="00B75C24" w:rsidRPr="008925CE" w:rsidRDefault="00B75C24" w:rsidP="00A81116">
            <w:pPr>
              <w:tabs>
                <w:tab w:val="left" w:pos="567"/>
              </w:tabs>
              <w:spacing w:after="0"/>
              <w:ind w:right="176"/>
              <w:jc w:val="right"/>
              <w:rPr>
                <w:rFonts w:ascii="Arial" w:hAnsi="Arial" w:cs="Arial"/>
              </w:rPr>
            </w:pPr>
            <w:r w:rsidRPr="008925CE">
              <w:rPr>
                <w:rFonts w:ascii="Arial" w:hAnsi="Arial" w:cs="Arial"/>
              </w:rPr>
              <w:t>0.970</w:t>
            </w:r>
          </w:p>
        </w:tc>
        <w:tc>
          <w:tcPr>
            <w:tcW w:w="6946" w:type="dxa"/>
            <w:shd w:val="clear" w:color="auto" w:fill="auto"/>
          </w:tcPr>
          <w:p w14:paraId="42958272" w14:textId="482346A1" w:rsidR="00B75C24" w:rsidRPr="008925CE" w:rsidRDefault="00B75C24" w:rsidP="006F4CCE">
            <w:pPr>
              <w:tabs>
                <w:tab w:val="left" w:pos="567"/>
              </w:tabs>
              <w:spacing w:after="0"/>
              <w:rPr>
                <w:rFonts w:ascii="Arial" w:hAnsi="Arial" w:cs="Arial"/>
              </w:rPr>
            </w:pPr>
            <w:r w:rsidRPr="008925CE">
              <w:rPr>
                <w:rFonts w:ascii="Arial" w:hAnsi="Arial" w:cs="Arial"/>
              </w:rPr>
              <w:t>Whilst the Ribble Valley Growth Corridor study has been completed and potential schemes identified, to date the study ha</w:t>
            </w:r>
            <w:r w:rsidR="006F4CCE">
              <w:rPr>
                <w:rFonts w:ascii="Arial" w:hAnsi="Arial" w:cs="Arial"/>
              </w:rPr>
              <w:t xml:space="preserve">s not been reported to Members. </w:t>
            </w:r>
            <w:r w:rsidRPr="008925CE">
              <w:rPr>
                <w:rFonts w:ascii="Arial" w:hAnsi="Arial" w:cs="Arial"/>
              </w:rPr>
              <w:t xml:space="preserve"> A major improvement to the A678/A6068 Shuttleworth Mead junction will be delivered through the LEP's Growth Deal 3 programme, but will not require a financial contribution from the county </w:t>
            </w:r>
            <w:r w:rsidR="006F4CCE">
              <w:rPr>
                <w:rFonts w:ascii="Arial" w:hAnsi="Arial" w:cs="Arial"/>
              </w:rPr>
              <w:t xml:space="preserve">council towards the works cost. </w:t>
            </w:r>
            <w:r w:rsidRPr="008925CE">
              <w:rPr>
                <w:rFonts w:ascii="Arial" w:hAnsi="Arial" w:cs="Arial"/>
              </w:rPr>
              <w:t xml:space="preserve"> The Ribble Valley Growth Corridor now lies within a much wider strategic east-west corridor study being undertaken by Transport for the North and is d</w:t>
            </w:r>
            <w:r w:rsidR="006F4CCE">
              <w:rPr>
                <w:rFonts w:ascii="Arial" w:hAnsi="Arial" w:cs="Arial"/>
              </w:rPr>
              <w:t xml:space="preserve">ue to be completed in mid-2018. </w:t>
            </w:r>
            <w:r w:rsidRPr="008925CE">
              <w:rPr>
                <w:rFonts w:ascii="Arial" w:hAnsi="Arial" w:cs="Arial"/>
              </w:rPr>
              <w:t xml:space="preserve"> It would therefore be prudent to await the outcome of this work before committing scarce resources to improvements that may only deliver a short term benefit.</w:t>
            </w:r>
          </w:p>
        </w:tc>
        <w:tc>
          <w:tcPr>
            <w:tcW w:w="2126" w:type="dxa"/>
          </w:tcPr>
          <w:p w14:paraId="7CBA3949" w14:textId="77777777" w:rsidR="00B75C24" w:rsidRPr="008925CE" w:rsidRDefault="00B75C24" w:rsidP="00F835B2">
            <w:pPr>
              <w:tabs>
                <w:tab w:val="left" w:pos="567"/>
              </w:tabs>
              <w:spacing w:after="0"/>
              <w:ind w:right="-613"/>
              <w:jc w:val="left"/>
              <w:rPr>
                <w:rFonts w:ascii="Arial" w:hAnsi="Arial" w:cs="Arial"/>
              </w:rPr>
            </w:pPr>
            <w:r w:rsidRPr="008925CE">
              <w:rPr>
                <w:rFonts w:ascii="Arial" w:hAnsi="Arial" w:cs="Arial"/>
              </w:rPr>
              <w:t>To be determined</w:t>
            </w:r>
          </w:p>
          <w:p w14:paraId="0F34989D" w14:textId="77777777" w:rsidR="00B75C24" w:rsidRPr="008925CE" w:rsidRDefault="00B75C24" w:rsidP="00F835B2">
            <w:pPr>
              <w:tabs>
                <w:tab w:val="left" w:pos="567"/>
              </w:tabs>
              <w:spacing w:after="0"/>
              <w:ind w:right="-613"/>
              <w:jc w:val="left"/>
              <w:rPr>
                <w:rFonts w:ascii="Arial" w:hAnsi="Arial" w:cs="Arial"/>
              </w:rPr>
            </w:pPr>
          </w:p>
        </w:tc>
      </w:tr>
      <w:tr w:rsidR="00B75C24" w:rsidRPr="008925CE" w14:paraId="137055C8" w14:textId="77777777" w:rsidTr="00F835B2">
        <w:tc>
          <w:tcPr>
            <w:tcW w:w="2122" w:type="dxa"/>
          </w:tcPr>
          <w:p w14:paraId="0468DD44" w14:textId="77777777" w:rsidR="00B75C24" w:rsidRPr="008925CE" w:rsidRDefault="00B75C24" w:rsidP="00F835B2">
            <w:pPr>
              <w:tabs>
                <w:tab w:val="left" w:pos="567"/>
              </w:tabs>
              <w:spacing w:after="0"/>
              <w:ind w:right="-613"/>
              <w:jc w:val="left"/>
              <w:rPr>
                <w:rFonts w:ascii="Arial" w:hAnsi="Arial" w:cs="Arial"/>
                <w:b/>
              </w:rPr>
            </w:pPr>
            <w:r w:rsidRPr="008925CE">
              <w:rPr>
                <w:rFonts w:ascii="Arial" w:hAnsi="Arial" w:cs="Arial"/>
                <w:b/>
              </w:rPr>
              <w:t>Total</w:t>
            </w:r>
          </w:p>
        </w:tc>
        <w:tc>
          <w:tcPr>
            <w:tcW w:w="1701" w:type="dxa"/>
          </w:tcPr>
          <w:p w14:paraId="45FD2CE1" w14:textId="7E9EC9D2" w:rsidR="00B75C24" w:rsidRPr="008925CE" w:rsidRDefault="00B75C24" w:rsidP="00F835B2">
            <w:pPr>
              <w:tabs>
                <w:tab w:val="left" w:pos="567"/>
              </w:tabs>
              <w:spacing w:after="0"/>
              <w:ind w:right="176"/>
              <w:jc w:val="right"/>
              <w:rPr>
                <w:rFonts w:ascii="Arial" w:hAnsi="Arial" w:cs="Arial"/>
                <w:b/>
              </w:rPr>
            </w:pPr>
            <w:r w:rsidRPr="008925CE">
              <w:rPr>
                <w:rFonts w:ascii="Arial" w:hAnsi="Arial" w:cs="Arial"/>
                <w:b/>
              </w:rPr>
              <w:t>6.250</w:t>
            </w:r>
          </w:p>
        </w:tc>
        <w:tc>
          <w:tcPr>
            <w:tcW w:w="1842" w:type="dxa"/>
            <w:shd w:val="clear" w:color="auto" w:fill="auto"/>
          </w:tcPr>
          <w:p w14:paraId="1CAF8FE7" w14:textId="2CB17D7E" w:rsidR="00B75C24" w:rsidRPr="008925CE" w:rsidRDefault="00B75C24" w:rsidP="00F835B2">
            <w:pPr>
              <w:tabs>
                <w:tab w:val="left" w:pos="567"/>
              </w:tabs>
              <w:spacing w:after="0"/>
              <w:ind w:right="176"/>
              <w:jc w:val="right"/>
              <w:rPr>
                <w:rFonts w:ascii="Arial" w:hAnsi="Arial" w:cs="Arial"/>
                <w:b/>
              </w:rPr>
            </w:pPr>
            <w:r w:rsidRPr="008925CE">
              <w:rPr>
                <w:rFonts w:ascii="Arial" w:hAnsi="Arial" w:cs="Arial"/>
                <w:b/>
              </w:rPr>
              <w:t>5.586</w:t>
            </w:r>
          </w:p>
        </w:tc>
        <w:tc>
          <w:tcPr>
            <w:tcW w:w="6946" w:type="dxa"/>
          </w:tcPr>
          <w:p w14:paraId="1630546E" w14:textId="77777777" w:rsidR="00B75C24" w:rsidRPr="008925CE" w:rsidRDefault="00B75C24" w:rsidP="00F835B2">
            <w:pPr>
              <w:tabs>
                <w:tab w:val="left" w:pos="567"/>
              </w:tabs>
              <w:spacing w:after="0"/>
              <w:ind w:right="-613"/>
              <w:jc w:val="left"/>
              <w:rPr>
                <w:rFonts w:ascii="Arial" w:hAnsi="Arial" w:cs="Arial"/>
              </w:rPr>
            </w:pPr>
          </w:p>
        </w:tc>
        <w:tc>
          <w:tcPr>
            <w:tcW w:w="2126" w:type="dxa"/>
          </w:tcPr>
          <w:p w14:paraId="5723CCB0" w14:textId="77777777" w:rsidR="00B75C24" w:rsidRPr="008925CE" w:rsidRDefault="00B75C24" w:rsidP="00F835B2">
            <w:pPr>
              <w:tabs>
                <w:tab w:val="left" w:pos="567"/>
              </w:tabs>
              <w:spacing w:after="0"/>
              <w:ind w:right="-613"/>
              <w:jc w:val="left"/>
              <w:rPr>
                <w:rFonts w:ascii="Arial" w:hAnsi="Arial" w:cs="Arial"/>
              </w:rPr>
            </w:pPr>
          </w:p>
        </w:tc>
      </w:tr>
    </w:tbl>
    <w:p w14:paraId="579784F7" w14:textId="77777777" w:rsidR="00B75C24" w:rsidRPr="008925CE" w:rsidRDefault="00B75C24" w:rsidP="00B75C24">
      <w:pPr>
        <w:keepNext/>
        <w:tabs>
          <w:tab w:val="left" w:pos="567"/>
        </w:tabs>
        <w:spacing w:after="0"/>
        <w:ind w:right="-613"/>
        <w:rPr>
          <w:rFonts w:cs="Arial"/>
        </w:rPr>
      </w:pPr>
    </w:p>
    <w:p w14:paraId="6AD4D11E" w14:textId="55835409" w:rsidR="00B75C24" w:rsidRPr="008925CE" w:rsidRDefault="00B75C24" w:rsidP="00B75C24">
      <w:pPr>
        <w:keepNext/>
        <w:tabs>
          <w:tab w:val="left" w:pos="567"/>
        </w:tabs>
        <w:spacing w:after="0"/>
        <w:ind w:right="-613"/>
        <w:rPr>
          <w:rFonts w:cs="Arial"/>
        </w:rPr>
      </w:pPr>
      <w:r w:rsidRPr="008925CE">
        <w:rPr>
          <w:rFonts w:cs="Arial"/>
        </w:rPr>
        <w:t>The above table highlights that £5.586m is available for re-purposing from a delivery perspective.</w:t>
      </w:r>
      <w:r w:rsidR="006F4CCE">
        <w:rPr>
          <w:rFonts w:cs="Arial"/>
        </w:rPr>
        <w:t xml:space="preserve"> </w:t>
      </w:r>
      <w:r w:rsidRPr="008925CE">
        <w:rPr>
          <w:rFonts w:cs="Arial"/>
        </w:rPr>
        <w:t xml:space="preserve"> </w:t>
      </w:r>
      <w:r>
        <w:rPr>
          <w:rFonts w:cs="Arial"/>
        </w:rPr>
        <w:t xml:space="preserve">It is proposed that </w:t>
      </w:r>
      <w:r w:rsidRPr="008925CE">
        <w:rPr>
          <w:rFonts w:cs="Arial"/>
        </w:rPr>
        <w:t>£4.107m</w:t>
      </w:r>
      <w:r>
        <w:rPr>
          <w:rFonts w:cs="Arial"/>
        </w:rPr>
        <w:t xml:space="preserve"> </w:t>
      </w:r>
      <w:r w:rsidRPr="008925CE">
        <w:rPr>
          <w:rFonts w:cs="Arial"/>
        </w:rPr>
        <w:t xml:space="preserve">be </w:t>
      </w:r>
      <w:r>
        <w:rPr>
          <w:rFonts w:cs="Arial"/>
        </w:rPr>
        <w:t>used</w:t>
      </w:r>
      <w:r w:rsidRPr="008925CE">
        <w:rPr>
          <w:rFonts w:cs="Arial"/>
        </w:rPr>
        <w:t xml:space="preserve"> to offset the additional funding required, over and above the Integrated Transport allocation</w:t>
      </w:r>
      <w:r>
        <w:rPr>
          <w:rFonts w:cs="Arial"/>
        </w:rPr>
        <w:t xml:space="preserve">. </w:t>
      </w:r>
      <w:r w:rsidR="006F4CCE">
        <w:rPr>
          <w:rFonts w:cs="Arial"/>
        </w:rPr>
        <w:t xml:space="preserve"> </w:t>
      </w:r>
      <w:r w:rsidRPr="008925CE">
        <w:rPr>
          <w:rFonts w:cs="Arial"/>
        </w:rPr>
        <w:t xml:space="preserve">This would leave a transport contingency of </w:t>
      </w:r>
      <w:r w:rsidRPr="008925CE">
        <w:rPr>
          <w:rFonts w:cs="Arial"/>
        </w:rPr>
        <w:lastRenderedPageBreak/>
        <w:t xml:space="preserve">£1.479m which would seem prudent considering the value of the transport programme and the fact that estimates are based on a desktop exercise. </w:t>
      </w:r>
    </w:p>
    <w:p w14:paraId="0167607E" w14:textId="77777777" w:rsidR="00B75C24" w:rsidRPr="008925CE" w:rsidRDefault="00B75C24" w:rsidP="00B75C24">
      <w:pPr>
        <w:keepNext/>
        <w:tabs>
          <w:tab w:val="left" w:pos="567"/>
        </w:tabs>
        <w:spacing w:after="0"/>
        <w:ind w:right="-613"/>
        <w:rPr>
          <w:rFonts w:cs="Arial"/>
        </w:rPr>
      </w:pPr>
    </w:p>
    <w:p w14:paraId="75ED6729" w14:textId="3DAAD552" w:rsidR="00B75C24" w:rsidRDefault="00B75C24" w:rsidP="00B75C24">
      <w:pPr>
        <w:tabs>
          <w:tab w:val="left" w:pos="567"/>
        </w:tabs>
        <w:spacing w:after="0"/>
        <w:ind w:right="-613"/>
        <w:rPr>
          <w:rFonts w:cs="Arial"/>
        </w:rPr>
      </w:pPr>
      <w:r w:rsidRPr="000F4682">
        <w:rPr>
          <w:rFonts w:cs="Arial"/>
        </w:rPr>
        <w:t>There are also external funding opportunities for which bids are already in place.</w:t>
      </w:r>
      <w:r w:rsidR="006F4CCE">
        <w:rPr>
          <w:rFonts w:cs="Arial"/>
        </w:rPr>
        <w:t xml:space="preserve"> </w:t>
      </w:r>
      <w:r w:rsidRPr="000F4682">
        <w:rPr>
          <w:rFonts w:cs="Arial"/>
        </w:rPr>
        <w:t xml:space="preserve"> These are not buil</w:t>
      </w:r>
      <w:r w:rsidR="00073097">
        <w:rPr>
          <w:rFonts w:cs="Arial"/>
        </w:rPr>
        <w:t>t</w:t>
      </w:r>
      <w:r w:rsidRPr="000F4682">
        <w:rPr>
          <w:rFonts w:cs="Arial"/>
        </w:rPr>
        <w:t xml:space="preserve"> into the above tables and will be added to the programme as funding decisions are made.</w:t>
      </w:r>
    </w:p>
    <w:p w14:paraId="2F9B823D" w14:textId="77777777" w:rsidR="00B75C24" w:rsidRDefault="00B75C24" w:rsidP="00B75C24">
      <w:pPr>
        <w:tabs>
          <w:tab w:val="left" w:pos="567"/>
        </w:tabs>
        <w:spacing w:after="0"/>
        <w:ind w:right="-613"/>
        <w:rPr>
          <w:rFonts w:cs="Arial"/>
        </w:rPr>
      </w:pPr>
    </w:p>
    <w:p w14:paraId="319B51E4" w14:textId="77777777" w:rsidR="00B75C24" w:rsidRDefault="00B75C24" w:rsidP="00B75C24">
      <w:pPr>
        <w:tabs>
          <w:tab w:val="left" w:pos="567"/>
        </w:tabs>
        <w:spacing w:after="0"/>
        <w:ind w:right="-613"/>
        <w:rPr>
          <w:rFonts w:cs="Arial"/>
          <w:b/>
        </w:rPr>
      </w:pPr>
      <w:r w:rsidRPr="008925CE">
        <w:rPr>
          <w:rFonts w:cs="Arial"/>
          <w:b/>
        </w:rPr>
        <w:t xml:space="preserve">3. Schools </w:t>
      </w:r>
    </w:p>
    <w:p w14:paraId="2EA15DD0" w14:textId="77777777" w:rsidR="00B75C24" w:rsidRPr="008925CE" w:rsidRDefault="00B75C24" w:rsidP="00B75C24">
      <w:pPr>
        <w:tabs>
          <w:tab w:val="left" w:pos="567"/>
        </w:tabs>
        <w:spacing w:after="0"/>
        <w:ind w:right="-613"/>
        <w:rPr>
          <w:rFonts w:cs="Arial"/>
          <w:b/>
        </w:rPr>
      </w:pPr>
    </w:p>
    <w:p w14:paraId="7F98C110" w14:textId="2CB4106E" w:rsidR="00B75C24" w:rsidRDefault="00B75C24" w:rsidP="00B75C24">
      <w:pPr>
        <w:tabs>
          <w:tab w:val="left" w:pos="567"/>
        </w:tabs>
        <w:spacing w:after="0"/>
        <w:ind w:right="-613"/>
        <w:rPr>
          <w:rFonts w:cs="Arial"/>
        </w:rPr>
      </w:pPr>
      <w:r w:rsidRPr="008925CE">
        <w:rPr>
          <w:rFonts w:cs="Arial"/>
        </w:rPr>
        <w:t>The 2018/19 Basic needs and conditions programme will be delivered in line with the ap</w:t>
      </w:r>
      <w:r>
        <w:rPr>
          <w:rFonts w:cs="Arial"/>
        </w:rPr>
        <w:t>proved Schools capital Strategy</w:t>
      </w:r>
      <w:r w:rsidR="006F4CCE">
        <w:rPr>
          <w:rFonts w:cs="Arial"/>
        </w:rPr>
        <w:t>,</w:t>
      </w:r>
      <w:r w:rsidRPr="008925CE">
        <w:rPr>
          <w:rFonts w:cs="Arial"/>
        </w:rPr>
        <w:t xml:space="preserve"> new Basic needs programmes of £4.3m have been added above and as the programme is further developed by asset management this wil</w:t>
      </w:r>
      <w:r>
        <w:rPr>
          <w:rFonts w:cs="Arial"/>
        </w:rPr>
        <w:t>l be included in the monitoring</w:t>
      </w:r>
      <w:r w:rsidRPr="008925CE">
        <w:rPr>
          <w:rFonts w:cs="Arial"/>
        </w:rPr>
        <w:t xml:space="preserve">.  </w:t>
      </w:r>
    </w:p>
    <w:p w14:paraId="22336E1D" w14:textId="77777777" w:rsidR="00B75C24" w:rsidRPr="008925CE" w:rsidRDefault="00B75C24" w:rsidP="00B75C24">
      <w:pPr>
        <w:tabs>
          <w:tab w:val="left" w:pos="567"/>
        </w:tabs>
        <w:spacing w:after="0"/>
        <w:ind w:right="-613"/>
        <w:rPr>
          <w:rFonts w:cs="Arial"/>
        </w:rPr>
      </w:pPr>
    </w:p>
    <w:p w14:paraId="2A140635" w14:textId="77777777" w:rsidR="00B75C24" w:rsidRPr="008925CE" w:rsidRDefault="00B75C24" w:rsidP="00B75C24">
      <w:pPr>
        <w:tabs>
          <w:tab w:val="left" w:pos="567"/>
        </w:tabs>
        <w:spacing w:after="0"/>
        <w:ind w:right="-613"/>
        <w:rPr>
          <w:rFonts w:cs="Arial"/>
        </w:rPr>
      </w:pPr>
      <w:r w:rsidRPr="008925CE">
        <w:rPr>
          <w:rFonts w:cs="Arial"/>
        </w:rPr>
        <w:t>The DFC grant is now pas</w:t>
      </w:r>
      <w:r>
        <w:rPr>
          <w:rFonts w:cs="Arial"/>
        </w:rPr>
        <w:t xml:space="preserve">sported to schools and £2.527m </w:t>
      </w:r>
      <w:r w:rsidRPr="008925CE">
        <w:rPr>
          <w:rFonts w:cs="Arial"/>
        </w:rPr>
        <w:t xml:space="preserve">is expected to be received in 2018/19 and therefore will be spent in year. </w:t>
      </w:r>
    </w:p>
    <w:p w14:paraId="317F4D37" w14:textId="5BB7D04E" w:rsidR="00CA72D1" w:rsidRDefault="00CA72D1" w:rsidP="00B75C24">
      <w:pPr>
        <w:autoSpaceDE/>
        <w:autoSpaceDN/>
        <w:adjustRightInd/>
        <w:spacing w:after="0"/>
        <w:rPr>
          <w:b/>
        </w:rPr>
      </w:pPr>
    </w:p>
    <w:sectPr w:rsidR="00CA72D1" w:rsidSect="00805F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74B57" w14:textId="77777777" w:rsidR="009D6093" w:rsidRDefault="009D6093">
      <w:pPr>
        <w:spacing w:after="0"/>
      </w:pPr>
      <w:r>
        <w:separator/>
      </w:r>
    </w:p>
  </w:endnote>
  <w:endnote w:type="continuationSeparator" w:id="0">
    <w:p w14:paraId="2BD3B40B" w14:textId="77777777" w:rsidR="009D6093" w:rsidRDefault="009D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DADD" w14:textId="77777777" w:rsidR="008F34D8" w:rsidRDefault="008F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D6A1" w14:textId="77777777" w:rsidR="009D6093" w:rsidRDefault="009D6093">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F34D8">
      <w:rPr>
        <w:caps/>
        <w:noProof/>
        <w:color w:val="4F81BD" w:themeColor="accent1"/>
      </w:rPr>
      <w:t>20</w:t>
    </w:r>
    <w:r>
      <w:rPr>
        <w:caps/>
        <w:noProof/>
        <w:color w:val="4F81BD" w:themeColor="accent1"/>
      </w:rPr>
      <w:fldChar w:fldCharType="end"/>
    </w:r>
  </w:p>
  <w:p w14:paraId="4520D759" w14:textId="77777777" w:rsidR="009D6093" w:rsidRDefault="009D6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373F" w14:textId="77777777" w:rsidR="008F34D8" w:rsidRDefault="008F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E8BC" w14:textId="77777777" w:rsidR="009D6093" w:rsidRDefault="009D6093">
      <w:pPr>
        <w:spacing w:after="0"/>
      </w:pPr>
      <w:r>
        <w:separator/>
      </w:r>
    </w:p>
  </w:footnote>
  <w:footnote w:type="continuationSeparator" w:id="0">
    <w:p w14:paraId="03440413" w14:textId="77777777" w:rsidR="009D6093" w:rsidRDefault="009D60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FD1B" w14:textId="77777777" w:rsidR="008F34D8" w:rsidRDefault="008F3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3406" w14:textId="77777777" w:rsidR="009D6093" w:rsidRDefault="009D6093">
    <w:pPr>
      <w:pStyle w:val="Header"/>
    </w:pPr>
    <w:r>
      <w:rPr>
        <w:noProof/>
        <w:lang w:eastAsia="en-GB"/>
      </w:rPr>
      <w:drawing>
        <wp:anchor distT="0" distB="0" distL="114300" distR="114300" simplePos="0" relativeHeight="251658240" behindDoc="1" locked="0" layoutInCell="1" allowOverlap="1" wp14:anchorId="1D1D5568" wp14:editId="09624B4E">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696F" w14:textId="2CFAEA80" w:rsidR="009D6093" w:rsidRDefault="009D6093" w:rsidP="007446BB">
    <w:pPr>
      <w:pStyle w:val="Header"/>
    </w:pPr>
    <w:bookmarkStart w:id="0" w:name="_GoBack"/>
    <w:r>
      <w:rPr>
        <w:noProof/>
        <w:lang w:eastAsia="en-GB"/>
      </w:rPr>
      <w:drawing>
        <wp:anchor distT="0" distB="0" distL="114300" distR="114300" simplePos="0" relativeHeight="251659264" behindDoc="1" locked="0" layoutInCell="1" allowOverlap="1" wp14:anchorId="50F7C84F" wp14:editId="310302B3">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14D31D2A"/>
    <w:multiLevelType w:val="hybridMultilevel"/>
    <w:tmpl w:val="9A8A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C54363"/>
    <w:multiLevelType w:val="hybridMultilevel"/>
    <w:tmpl w:val="46CC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7B3349"/>
    <w:multiLevelType w:val="multilevel"/>
    <w:tmpl w:val="983E16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87729C2"/>
    <w:multiLevelType w:val="hybridMultilevel"/>
    <w:tmpl w:val="9288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931B94"/>
    <w:multiLevelType w:val="hybridMultilevel"/>
    <w:tmpl w:val="5EC8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154AED"/>
    <w:multiLevelType w:val="hybridMultilevel"/>
    <w:tmpl w:val="7842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DE378D"/>
    <w:multiLevelType w:val="hybridMultilevel"/>
    <w:tmpl w:val="669255CA"/>
    <w:lvl w:ilvl="0" w:tplc="D1789FFE">
      <w:start w:val="1"/>
      <w:numFmt w:val="bullet"/>
      <w:pStyle w:val="Bullet"/>
      <w:lvlText w:val=""/>
      <w:lvlJc w:val="left"/>
      <w:pPr>
        <w:ind w:left="363" w:hanging="360"/>
      </w:pPr>
      <w:rPr>
        <w:rFonts w:ascii="Symbol" w:hAnsi="Symbol" w:hint="default"/>
      </w:rPr>
    </w:lvl>
    <w:lvl w:ilvl="1" w:tplc="501C98CE">
      <w:start w:val="1"/>
      <w:numFmt w:val="bullet"/>
      <w:pStyle w:val="Bullet-indent"/>
      <w:lvlText w:val="o"/>
      <w:lvlJc w:val="left"/>
      <w:pPr>
        <w:ind w:left="1083" w:hanging="360"/>
      </w:pPr>
      <w:rPr>
        <w:rFonts w:ascii="Courier New" w:hAnsi="Courier New" w:cs="Courier New" w:hint="default"/>
      </w:rPr>
    </w:lvl>
    <w:lvl w:ilvl="2" w:tplc="BDA8781E" w:tentative="1">
      <w:start w:val="1"/>
      <w:numFmt w:val="bullet"/>
      <w:lvlText w:val=""/>
      <w:lvlJc w:val="left"/>
      <w:pPr>
        <w:ind w:left="1803" w:hanging="360"/>
      </w:pPr>
      <w:rPr>
        <w:rFonts w:ascii="Wingdings" w:hAnsi="Wingdings" w:hint="default"/>
      </w:rPr>
    </w:lvl>
    <w:lvl w:ilvl="3" w:tplc="9B7EC7E6" w:tentative="1">
      <w:start w:val="1"/>
      <w:numFmt w:val="bullet"/>
      <w:lvlText w:val=""/>
      <w:lvlJc w:val="left"/>
      <w:pPr>
        <w:ind w:left="2523" w:hanging="360"/>
      </w:pPr>
      <w:rPr>
        <w:rFonts w:ascii="Symbol" w:hAnsi="Symbol" w:hint="default"/>
      </w:rPr>
    </w:lvl>
    <w:lvl w:ilvl="4" w:tplc="73CE0890" w:tentative="1">
      <w:start w:val="1"/>
      <w:numFmt w:val="bullet"/>
      <w:lvlText w:val="o"/>
      <w:lvlJc w:val="left"/>
      <w:pPr>
        <w:ind w:left="3243" w:hanging="360"/>
      </w:pPr>
      <w:rPr>
        <w:rFonts w:ascii="Courier New" w:hAnsi="Courier New" w:cs="Courier New" w:hint="default"/>
      </w:rPr>
    </w:lvl>
    <w:lvl w:ilvl="5" w:tplc="EB8CE1D6" w:tentative="1">
      <w:start w:val="1"/>
      <w:numFmt w:val="bullet"/>
      <w:lvlText w:val=""/>
      <w:lvlJc w:val="left"/>
      <w:pPr>
        <w:ind w:left="3963" w:hanging="360"/>
      </w:pPr>
      <w:rPr>
        <w:rFonts w:ascii="Wingdings" w:hAnsi="Wingdings" w:hint="default"/>
      </w:rPr>
    </w:lvl>
    <w:lvl w:ilvl="6" w:tplc="69E4E868" w:tentative="1">
      <w:start w:val="1"/>
      <w:numFmt w:val="bullet"/>
      <w:lvlText w:val=""/>
      <w:lvlJc w:val="left"/>
      <w:pPr>
        <w:ind w:left="4683" w:hanging="360"/>
      </w:pPr>
      <w:rPr>
        <w:rFonts w:ascii="Symbol" w:hAnsi="Symbol" w:hint="default"/>
      </w:rPr>
    </w:lvl>
    <w:lvl w:ilvl="7" w:tplc="A3AC9032" w:tentative="1">
      <w:start w:val="1"/>
      <w:numFmt w:val="bullet"/>
      <w:lvlText w:val="o"/>
      <w:lvlJc w:val="left"/>
      <w:pPr>
        <w:ind w:left="5403" w:hanging="360"/>
      </w:pPr>
      <w:rPr>
        <w:rFonts w:ascii="Courier New" w:hAnsi="Courier New" w:cs="Courier New" w:hint="default"/>
      </w:rPr>
    </w:lvl>
    <w:lvl w:ilvl="8" w:tplc="6130F6EC" w:tentative="1">
      <w:start w:val="1"/>
      <w:numFmt w:val="bullet"/>
      <w:lvlText w:val=""/>
      <w:lvlJc w:val="left"/>
      <w:pPr>
        <w:ind w:left="6123" w:hanging="360"/>
      </w:pPr>
      <w:rPr>
        <w:rFonts w:ascii="Wingdings" w:hAnsi="Wingdings" w:hint="default"/>
      </w:rPr>
    </w:lvl>
  </w:abstractNum>
  <w:abstractNum w:abstractNumId="27" w15:restartNumberingAfterBreak="0">
    <w:nsid w:val="420860A3"/>
    <w:multiLevelType w:val="hybridMultilevel"/>
    <w:tmpl w:val="2DF6A548"/>
    <w:lvl w:ilvl="0" w:tplc="2ADA3AEA">
      <w:start w:val="1"/>
      <w:numFmt w:val="decimal"/>
      <w:pStyle w:val="Heading2-numbered"/>
      <w:lvlText w:val="%1."/>
      <w:lvlJc w:val="left"/>
      <w:pPr>
        <w:ind w:left="360" w:hanging="360"/>
      </w:pPr>
    </w:lvl>
    <w:lvl w:ilvl="1" w:tplc="9D3C6E7E" w:tentative="1">
      <w:start w:val="1"/>
      <w:numFmt w:val="lowerLetter"/>
      <w:lvlText w:val="%2."/>
      <w:lvlJc w:val="left"/>
      <w:pPr>
        <w:ind w:left="1080" w:hanging="360"/>
      </w:pPr>
    </w:lvl>
    <w:lvl w:ilvl="2" w:tplc="430A4A00" w:tentative="1">
      <w:start w:val="1"/>
      <w:numFmt w:val="lowerRoman"/>
      <w:lvlText w:val="%3."/>
      <w:lvlJc w:val="right"/>
      <w:pPr>
        <w:ind w:left="1800" w:hanging="180"/>
      </w:pPr>
    </w:lvl>
    <w:lvl w:ilvl="3" w:tplc="3B823832" w:tentative="1">
      <w:start w:val="1"/>
      <w:numFmt w:val="decimal"/>
      <w:lvlText w:val="%4."/>
      <w:lvlJc w:val="left"/>
      <w:pPr>
        <w:ind w:left="2520" w:hanging="360"/>
      </w:pPr>
    </w:lvl>
    <w:lvl w:ilvl="4" w:tplc="1EB0B814" w:tentative="1">
      <w:start w:val="1"/>
      <w:numFmt w:val="lowerLetter"/>
      <w:lvlText w:val="%5."/>
      <w:lvlJc w:val="left"/>
      <w:pPr>
        <w:ind w:left="3240" w:hanging="360"/>
      </w:pPr>
    </w:lvl>
    <w:lvl w:ilvl="5" w:tplc="7FB00712" w:tentative="1">
      <w:start w:val="1"/>
      <w:numFmt w:val="lowerRoman"/>
      <w:lvlText w:val="%6."/>
      <w:lvlJc w:val="right"/>
      <w:pPr>
        <w:ind w:left="3960" w:hanging="180"/>
      </w:pPr>
    </w:lvl>
    <w:lvl w:ilvl="6" w:tplc="8648F74E" w:tentative="1">
      <w:start w:val="1"/>
      <w:numFmt w:val="decimal"/>
      <w:lvlText w:val="%7."/>
      <w:lvlJc w:val="left"/>
      <w:pPr>
        <w:ind w:left="4680" w:hanging="360"/>
      </w:pPr>
    </w:lvl>
    <w:lvl w:ilvl="7" w:tplc="0A84E860" w:tentative="1">
      <w:start w:val="1"/>
      <w:numFmt w:val="lowerLetter"/>
      <w:lvlText w:val="%8."/>
      <w:lvlJc w:val="left"/>
      <w:pPr>
        <w:ind w:left="5400" w:hanging="360"/>
      </w:pPr>
    </w:lvl>
    <w:lvl w:ilvl="8" w:tplc="653AC622" w:tentative="1">
      <w:start w:val="1"/>
      <w:numFmt w:val="lowerRoman"/>
      <w:lvlText w:val="%9."/>
      <w:lvlJc w:val="right"/>
      <w:pPr>
        <w:ind w:left="6120" w:hanging="180"/>
      </w:pPr>
    </w:lvl>
  </w:abstractNum>
  <w:abstractNum w:abstractNumId="28" w15:restartNumberingAfterBreak="0">
    <w:nsid w:val="57F93F60"/>
    <w:multiLevelType w:val="hybridMultilevel"/>
    <w:tmpl w:val="F60CDE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B81EBA"/>
    <w:multiLevelType w:val="hybridMultilevel"/>
    <w:tmpl w:val="5718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E1281"/>
    <w:multiLevelType w:val="hybridMultilevel"/>
    <w:tmpl w:val="4CF2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759CD"/>
    <w:multiLevelType w:val="hybridMultilevel"/>
    <w:tmpl w:val="6FF22088"/>
    <w:lvl w:ilvl="0" w:tplc="FEE6899A">
      <w:start w:val="1"/>
      <w:numFmt w:val="decimal"/>
      <w:pStyle w:val="Heading4"/>
      <w:lvlText w:val="%1."/>
      <w:lvlJc w:val="left"/>
      <w:pPr>
        <w:ind w:left="360" w:hanging="360"/>
      </w:pPr>
    </w:lvl>
    <w:lvl w:ilvl="1" w:tplc="687E1570" w:tentative="1">
      <w:start w:val="1"/>
      <w:numFmt w:val="lowerLetter"/>
      <w:lvlText w:val="%2."/>
      <w:lvlJc w:val="left"/>
      <w:pPr>
        <w:ind w:left="1080" w:hanging="360"/>
      </w:pPr>
    </w:lvl>
    <w:lvl w:ilvl="2" w:tplc="C5304328" w:tentative="1">
      <w:start w:val="1"/>
      <w:numFmt w:val="lowerRoman"/>
      <w:lvlText w:val="%3."/>
      <w:lvlJc w:val="right"/>
      <w:pPr>
        <w:ind w:left="1800" w:hanging="180"/>
      </w:pPr>
    </w:lvl>
    <w:lvl w:ilvl="3" w:tplc="A612A2F2" w:tentative="1">
      <w:start w:val="1"/>
      <w:numFmt w:val="decimal"/>
      <w:lvlText w:val="%4."/>
      <w:lvlJc w:val="left"/>
      <w:pPr>
        <w:ind w:left="2520" w:hanging="360"/>
      </w:pPr>
    </w:lvl>
    <w:lvl w:ilvl="4" w:tplc="99B2AD40" w:tentative="1">
      <w:start w:val="1"/>
      <w:numFmt w:val="lowerLetter"/>
      <w:lvlText w:val="%5."/>
      <w:lvlJc w:val="left"/>
      <w:pPr>
        <w:ind w:left="3240" w:hanging="360"/>
      </w:pPr>
    </w:lvl>
    <w:lvl w:ilvl="5" w:tplc="19FE92CC" w:tentative="1">
      <w:start w:val="1"/>
      <w:numFmt w:val="lowerRoman"/>
      <w:lvlText w:val="%6."/>
      <w:lvlJc w:val="right"/>
      <w:pPr>
        <w:ind w:left="3960" w:hanging="180"/>
      </w:pPr>
    </w:lvl>
    <w:lvl w:ilvl="6" w:tplc="2CFE8DEE" w:tentative="1">
      <w:start w:val="1"/>
      <w:numFmt w:val="decimal"/>
      <w:lvlText w:val="%7."/>
      <w:lvlJc w:val="left"/>
      <w:pPr>
        <w:ind w:left="4680" w:hanging="360"/>
      </w:pPr>
    </w:lvl>
    <w:lvl w:ilvl="7" w:tplc="4768D888" w:tentative="1">
      <w:start w:val="1"/>
      <w:numFmt w:val="lowerLetter"/>
      <w:lvlText w:val="%8."/>
      <w:lvlJc w:val="left"/>
      <w:pPr>
        <w:ind w:left="5400" w:hanging="360"/>
      </w:pPr>
    </w:lvl>
    <w:lvl w:ilvl="8" w:tplc="823C9D54" w:tentative="1">
      <w:start w:val="1"/>
      <w:numFmt w:val="lowerRoman"/>
      <w:lvlText w:val="%9."/>
      <w:lvlJc w:val="right"/>
      <w:pPr>
        <w:ind w:left="6120" w:hanging="180"/>
      </w:pPr>
    </w:lvl>
  </w:abstractNum>
  <w:abstractNum w:abstractNumId="32" w15:restartNumberingAfterBreak="0">
    <w:nsid w:val="6A340F3B"/>
    <w:multiLevelType w:val="hybridMultilevel"/>
    <w:tmpl w:val="7C0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2C6B77"/>
    <w:multiLevelType w:val="hybridMultilevel"/>
    <w:tmpl w:val="808278F0"/>
    <w:lvl w:ilvl="0" w:tplc="F7367E3E">
      <w:start w:val="1"/>
      <w:numFmt w:val="decimal"/>
      <w:pStyle w:val="Heading3-numbered"/>
      <w:lvlText w:val="%1."/>
      <w:lvlJc w:val="left"/>
      <w:pPr>
        <w:ind w:left="360" w:hanging="360"/>
      </w:pPr>
      <w:rPr>
        <w:b/>
        <w:i w:val="0"/>
        <w:color w:val="auto"/>
        <w:sz w:val="28"/>
        <w:szCs w:val="28"/>
      </w:rPr>
    </w:lvl>
    <w:lvl w:ilvl="1" w:tplc="9C8E5C26" w:tentative="1">
      <w:start w:val="1"/>
      <w:numFmt w:val="lowerLetter"/>
      <w:lvlText w:val="%2."/>
      <w:lvlJc w:val="left"/>
      <w:pPr>
        <w:ind w:left="1080" w:hanging="360"/>
      </w:pPr>
    </w:lvl>
    <w:lvl w:ilvl="2" w:tplc="B4325ADA" w:tentative="1">
      <w:start w:val="1"/>
      <w:numFmt w:val="lowerRoman"/>
      <w:lvlText w:val="%3."/>
      <w:lvlJc w:val="right"/>
      <w:pPr>
        <w:ind w:left="1800" w:hanging="180"/>
      </w:pPr>
    </w:lvl>
    <w:lvl w:ilvl="3" w:tplc="DDE8C210" w:tentative="1">
      <w:start w:val="1"/>
      <w:numFmt w:val="decimal"/>
      <w:lvlText w:val="%4."/>
      <w:lvlJc w:val="left"/>
      <w:pPr>
        <w:ind w:left="2520" w:hanging="360"/>
      </w:pPr>
    </w:lvl>
    <w:lvl w:ilvl="4" w:tplc="633A29C0" w:tentative="1">
      <w:start w:val="1"/>
      <w:numFmt w:val="lowerLetter"/>
      <w:lvlText w:val="%5."/>
      <w:lvlJc w:val="left"/>
      <w:pPr>
        <w:ind w:left="3240" w:hanging="360"/>
      </w:pPr>
    </w:lvl>
    <w:lvl w:ilvl="5" w:tplc="04601940" w:tentative="1">
      <w:start w:val="1"/>
      <w:numFmt w:val="lowerRoman"/>
      <w:lvlText w:val="%6."/>
      <w:lvlJc w:val="right"/>
      <w:pPr>
        <w:ind w:left="3960" w:hanging="180"/>
      </w:pPr>
    </w:lvl>
    <w:lvl w:ilvl="6" w:tplc="2DFED8B8" w:tentative="1">
      <w:start w:val="1"/>
      <w:numFmt w:val="decimal"/>
      <w:lvlText w:val="%7."/>
      <w:lvlJc w:val="left"/>
      <w:pPr>
        <w:ind w:left="4680" w:hanging="360"/>
      </w:pPr>
    </w:lvl>
    <w:lvl w:ilvl="7" w:tplc="CD06E594" w:tentative="1">
      <w:start w:val="1"/>
      <w:numFmt w:val="lowerLetter"/>
      <w:lvlText w:val="%8."/>
      <w:lvlJc w:val="left"/>
      <w:pPr>
        <w:ind w:left="5400" w:hanging="360"/>
      </w:pPr>
    </w:lvl>
    <w:lvl w:ilvl="8" w:tplc="E36061D2" w:tentative="1">
      <w:start w:val="1"/>
      <w:numFmt w:val="lowerRoman"/>
      <w:lvlText w:val="%9."/>
      <w:lvlJc w:val="right"/>
      <w:pPr>
        <w:ind w:left="6120" w:hanging="180"/>
      </w:pPr>
    </w:lvl>
  </w:abstractNum>
  <w:abstractNum w:abstractNumId="34" w15:restartNumberingAfterBreak="0">
    <w:nsid w:val="719F4435"/>
    <w:multiLevelType w:val="hybridMultilevel"/>
    <w:tmpl w:val="C70A4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5635E2"/>
    <w:multiLevelType w:val="hybridMultilevel"/>
    <w:tmpl w:val="140A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627CE"/>
    <w:multiLevelType w:val="hybridMultilevel"/>
    <w:tmpl w:val="AC7C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33"/>
  </w:num>
  <w:num w:numId="4">
    <w:abstractNumId w:val="31"/>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4"/>
  </w:num>
  <w:num w:numId="26">
    <w:abstractNumId w:val="30"/>
  </w:num>
  <w:num w:numId="27">
    <w:abstractNumId w:val="32"/>
  </w:num>
  <w:num w:numId="28">
    <w:abstractNumId w:val="21"/>
  </w:num>
  <w:num w:numId="29">
    <w:abstractNumId w:val="36"/>
  </w:num>
  <w:num w:numId="30">
    <w:abstractNumId w:val="35"/>
  </w:num>
  <w:num w:numId="31">
    <w:abstractNumId w:val="29"/>
  </w:num>
  <w:num w:numId="32">
    <w:abstractNumId w:val="28"/>
  </w:num>
  <w:num w:numId="33">
    <w:abstractNumId w:val="20"/>
  </w:num>
  <w:num w:numId="34">
    <w:abstractNumId w:val="25"/>
  </w:num>
  <w:num w:numId="35">
    <w:abstractNumId w:val="23"/>
  </w:num>
  <w:num w:numId="36">
    <w:abstractNumId w:val="22"/>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FD"/>
    <w:rsid w:val="0000560A"/>
    <w:rsid w:val="00013882"/>
    <w:rsid w:val="000375D5"/>
    <w:rsid w:val="00044998"/>
    <w:rsid w:val="000535B4"/>
    <w:rsid w:val="00053D50"/>
    <w:rsid w:val="00073097"/>
    <w:rsid w:val="00076AE8"/>
    <w:rsid w:val="00081468"/>
    <w:rsid w:val="00084101"/>
    <w:rsid w:val="00087671"/>
    <w:rsid w:val="00087A86"/>
    <w:rsid w:val="00096D1F"/>
    <w:rsid w:val="000A2871"/>
    <w:rsid w:val="000A51BC"/>
    <w:rsid w:val="000A5BCB"/>
    <w:rsid w:val="000B50CA"/>
    <w:rsid w:val="000B6359"/>
    <w:rsid w:val="000B6FC0"/>
    <w:rsid w:val="000D3636"/>
    <w:rsid w:val="000D589B"/>
    <w:rsid w:val="000F3AAB"/>
    <w:rsid w:val="00120E35"/>
    <w:rsid w:val="00134621"/>
    <w:rsid w:val="001347D8"/>
    <w:rsid w:val="00134DB0"/>
    <w:rsid w:val="001414DF"/>
    <w:rsid w:val="001439CF"/>
    <w:rsid w:val="0014653E"/>
    <w:rsid w:val="001671E4"/>
    <w:rsid w:val="00171CF9"/>
    <w:rsid w:val="00191AB9"/>
    <w:rsid w:val="001A57A6"/>
    <w:rsid w:val="001B18A7"/>
    <w:rsid w:val="001B4168"/>
    <w:rsid w:val="001B48CE"/>
    <w:rsid w:val="001B51AB"/>
    <w:rsid w:val="001B5230"/>
    <w:rsid w:val="001D13F1"/>
    <w:rsid w:val="001E017F"/>
    <w:rsid w:val="001E02D0"/>
    <w:rsid w:val="00200F0F"/>
    <w:rsid w:val="00203549"/>
    <w:rsid w:val="00203D54"/>
    <w:rsid w:val="002058DF"/>
    <w:rsid w:val="00212D25"/>
    <w:rsid w:val="00221468"/>
    <w:rsid w:val="00231EB0"/>
    <w:rsid w:val="00241869"/>
    <w:rsid w:val="00251ECB"/>
    <w:rsid w:val="00255003"/>
    <w:rsid w:val="00257128"/>
    <w:rsid w:val="00270635"/>
    <w:rsid w:val="00270BC1"/>
    <w:rsid w:val="002868A9"/>
    <w:rsid w:val="00287914"/>
    <w:rsid w:val="0028795D"/>
    <w:rsid w:val="002958A2"/>
    <w:rsid w:val="002D547B"/>
    <w:rsid w:val="002D6C9C"/>
    <w:rsid w:val="002E6415"/>
    <w:rsid w:val="002E6DA2"/>
    <w:rsid w:val="002F27FD"/>
    <w:rsid w:val="00302294"/>
    <w:rsid w:val="00311130"/>
    <w:rsid w:val="00316521"/>
    <w:rsid w:val="0032450E"/>
    <w:rsid w:val="00332406"/>
    <w:rsid w:val="00332881"/>
    <w:rsid w:val="00347315"/>
    <w:rsid w:val="00363D08"/>
    <w:rsid w:val="00366E1D"/>
    <w:rsid w:val="00372945"/>
    <w:rsid w:val="00386D3B"/>
    <w:rsid w:val="003938D8"/>
    <w:rsid w:val="003A0F3E"/>
    <w:rsid w:val="003A7ACF"/>
    <w:rsid w:val="003B5B25"/>
    <w:rsid w:val="003C4ED7"/>
    <w:rsid w:val="003E6B51"/>
    <w:rsid w:val="00406EFB"/>
    <w:rsid w:val="0041499B"/>
    <w:rsid w:val="00422CFD"/>
    <w:rsid w:val="00427EDE"/>
    <w:rsid w:val="004332D6"/>
    <w:rsid w:val="0043483A"/>
    <w:rsid w:val="00434E44"/>
    <w:rsid w:val="004378F3"/>
    <w:rsid w:val="0045420D"/>
    <w:rsid w:val="00455712"/>
    <w:rsid w:val="00457E71"/>
    <w:rsid w:val="004614D6"/>
    <w:rsid w:val="00462467"/>
    <w:rsid w:val="00466447"/>
    <w:rsid w:val="0048421C"/>
    <w:rsid w:val="00493390"/>
    <w:rsid w:val="004A149E"/>
    <w:rsid w:val="004A2547"/>
    <w:rsid w:val="004A3ACC"/>
    <w:rsid w:val="004A58B1"/>
    <w:rsid w:val="004A70F0"/>
    <w:rsid w:val="004B74E5"/>
    <w:rsid w:val="004D38E5"/>
    <w:rsid w:val="004E058B"/>
    <w:rsid w:val="004E06FD"/>
    <w:rsid w:val="004F07B1"/>
    <w:rsid w:val="004F4FA7"/>
    <w:rsid w:val="00501F16"/>
    <w:rsid w:val="00502ED1"/>
    <w:rsid w:val="00504DDE"/>
    <w:rsid w:val="005063BF"/>
    <w:rsid w:val="005066D1"/>
    <w:rsid w:val="00510203"/>
    <w:rsid w:val="00522DC6"/>
    <w:rsid w:val="00537B83"/>
    <w:rsid w:val="00546DD2"/>
    <w:rsid w:val="0056213B"/>
    <w:rsid w:val="00564A0D"/>
    <w:rsid w:val="00570F5C"/>
    <w:rsid w:val="00592D24"/>
    <w:rsid w:val="00593C42"/>
    <w:rsid w:val="005C63E5"/>
    <w:rsid w:val="005D0BE2"/>
    <w:rsid w:val="005D1440"/>
    <w:rsid w:val="005D6BAC"/>
    <w:rsid w:val="005E69E8"/>
    <w:rsid w:val="005F05DD"/>
    <w:rsid w:val="005F19AD"/>
    <w:rsid w:val="005F69F6"/>
    <w:rsid w:val="00645A62"/>
    <w:rsid w:val="0065227E"/>
    <w:rsid w:val="006578AC"/>
    <w:rsid w:val="006622A6"/>
    <w:rsid w:val="00664924"/>
    <w:rsid w:val="006673D6"/>
    <w:rsid w:val="00671733"/>
    <w:rsid w:val="00673260"/>
    <w:rsid w:val="006759B1"/>
    <w:rsid w:val="006820B1"/>
    <w:rsid w:val="00685309"/>
    <w:rsid w:val="0068787A"/>
    <w:rsid w:val="00691F6F"/>
    <w:rsid w:val="006A1684"/>
    <w:rsid w:val="006A28E4"/>
    <w:rsid w:val="006B29B1"/>
    <w:rsid w:val="006B6B02"/>
    <w:rsid w:val="006C59D4"/>
    <w:rsid w:val="006C59E5"/>
    <w:rsid w:val="006C6F70"/>
    <w:rsid w:val="006D1CAD"/>
    <w:rsid w:val="006D43E4"/>
    <w:rsid w:val="006E1C1F"/>
    <w:rsid w:val="006E759A"/>
    <w:rsid w:val="006F4CCE"/>
    <w:rsid w:val="007056A3"/>
    <w:rsid w:val="00705D5C"/>
    <w:rsid w:val="00727BC9"/>
    <w:rsid w:val="00736C5F"/>
    <w:rsid w:val="007446BB"/>
    <w:rsid w:val="00747190"/>
    <w:rsid w:val="007475D3"/>
    <w:rsid w:val="00755F43"/>
    <w:rsid w:val="007736CE"/>
    <w:rsid w:val="00776777"/>
    <w:rsid w:val="00781A8B"/>
    <w:rsid w:val="00782650"/>
    <w:rsid w:val="00784DEF"/>
    <w:rsid w:val="007A67A6"/>
    <w:rsid w:val="007C37A7"/>
    <w:rsid w:val="007C3EFB"/>
    <w:rsid w:val="007E14B4"/>
    <w:rsid w:val="007E1608"/>
    <w:rsid w:val="007E305C"/>
    <w:rsid w:val="007F0405"/>
    <w:rsid w:val="0080200B"/>
    <w:rsid w:val="00805F51"/>
    <w:rsid w:val="00807366"/>
    <w:rsid w:val="008124D6"/>
    <w:rsid w:val="008344D2"/>
    <w:rsid w:val="00837763"/>
    <w:rsid w:val="0087764F"/>
    <w:rsid w:val="00891852"/>
    <w:rsid w:val="00891B8A"/>
    <w:rsid w:val="008922A6"/>
    <w:rsid w:val="008A13AC"/>
    <w:rsid w:val="008B2501"/>
    <w:rsid w:val="008B3A99"/>
    <w:rsid w:val="008B69BB"/>
    <w:rsid w:val="008C1AE0"/>
    <w:rsid w:val="008C6501"/>
    <w:rsid w:val="008C6E17"/>
    <w:rsid w:val="008C7CC9"/>
    <w:rsid w:val="008F34D8"/>
    <w:rsid w:val="0091167A"/>
    <w:rsid w:val="00913962"/>
    <w:rsid w:val="00926684"/>
    <w:rsid w:val="00932941"/>
    <w:rsid w:val="00936579"/>
    <w:rsid w:val="00942876"/>
    <w:rsid w:val="00945743"/>
    <w:rsid w:val="00965A4B"/>
    <w:rsid w:val="00991F21"/>
    <w:rsid w:val="009B54CC"/>
    <w:rsid w:val="009C0585"/>
    <w:rsid w:val="009D6093"/>
    <w:rsid w:val="009D6C22"/>
    <w:rsid w:val="009E304F"/>
    <w:rsid w:val="009E4412"/>
    <w:rsid w:val="00A3139E"/>
    <w:rsid w:val="00A615F2"/>
    <w:rsid w:val="00A651BD"/>
    <w:rsid w:val="00A77E47"/>
    <w:rsid w:val="00A81116"/>
    <w:rsid w:val="00A83445"/>
    <w:rsid w:val="00A8357F"/>
    <w:rsid w:val="00A97B3F"/>
    <w:rsid w:val="00AB5B2E"/>
    <w:rsid w:val="00AD3C72"/>
    <w:rsid w:val="00AE59E0"/>
    <w:rsid w:val="00AF393F"/>
    <w:rsid w:val="00B148ED"/>
    <w:rsid w:val="00B37069"/>
    <w:rsid w:val="00B459B3"/>
    <w:rsid w:val="00B51488"/>
    <w:rsid w:val="00B53FAF"/>
    <w:rsid w:val="00B64738"/>
    <w:rsid w:val="00B75771"/>
    <w:rsid w:val="00B75C24"/>
    <w:rsid w:val="00B81FD0"/>
    <w:rsid w:val="00BA0D59"/>
    <w:rsid w:val="00BA1502"/>
    <w:rsid w:val="00BA5555"/>
    <w:rsid w:val="00BA6C28"/>
    <w:rsid w:val="00BB359F"/>
    <w:rsid w:val="00BB7F41"/>
    <w:rsid w:val="00BD21E9"/>
    <w:rsid w:val="00BD5B46"/>
    <w:rsid w:val="00BE09C9"/>
    <w:rsid w:val="00BE59F3"/>
    <w:rsid w:val="00BE6CF4"/>
    <w:rsid w:val="00C00074"/>
    <w:rsid w:val="00C25E73"/>
    <w:rsid w:val="00C42BDA"/>
    <w:rsid w:val="00C819D1"/>
    <w:rsid w:val="00C82E7F"/>
    <w:rsid w:val="00CA0E21"/>
    <w:rsid w:val="00CA72D1"/>
    <w:rsid w:val="00CB5FFA"/>
    <w:rsid w:val="00CD5B06"/>
    <w:rsid w:val="00CE76EA"/>
    <w:rsid w:val="00CF78BC"/>
    <w:rsid w:val="00D02AB0"/>
    <w:rsid w:val="00D22AD0"/>
    <w:rsid w:val="00D3408E"/>
    <w:rsid w:val="00D40856"/>
    <w:rsid w:val="00D5333D"/>
    <w:rsid w:val="00D639BD"/>
    <w:rsid w:val="00D93B81"/>
    <w:rsid w:val="00DA2793"/>
    <w:rsid w:val="00DB0D47"/>
    <w:rsid w:val="00DB3568"/>
    <w:rsid w:val="00DB3790"/>
    <w:rsid w:val="00DC662F"/>
    <w:rsid w:val="00E118FC"/>
    <w:rsid w:val="00E1385F"/>
    <w:rsid w:val="00E13980"/>
    <w:rsid w:val="00E16D30"/>
    <w:rsid w:val="00E21DE6"/>
    <w:rsid w:val="00E26C03"/>
    <w:rsid w:val="00E3472A"/>
    <w:rsid w:val="00E62E68"/>
    <w:rsid w:val="00E6400D"/>
    <w:rsid w:val="00E70175"/>
    <w:rsid w:val="00E715E2"/>
    <w:rsid w:val="00E81787"/>
    <w:rsid w:val="00E86987"/>
    <w:rsid w:val="00E926B8"/>
    <w:rsid w:val="00E94C09"/>
    <w:rsid w:val="00E962FE"/>
    <w:rsid w:val="00E968D4"/>
    <w:rsid w:val="00EB16EA"/>
    <w:rsid w:val="00EC13B4"/>
    <w:rsid w:val="00EC19FF"/>
    <w:rsid w:val="00ED03EE"/>
    <w:rsid w:val="00ED03FB"/>
    <w:rsid w:val="00EE013B"/>
    <w:rsid w:val="00EF580B"/>
    <w:rsid w:val="00F0072F"/>
    <w:rsid w:val="00F36824"/>
    <w:rsid w:val="00F43840"/>
    <w:rsid w:val="00F51DA4"/>
    <w:rsid w:val="00F54035"/>
    <w:rsid w:val="00F63D1D"/>
    <w:rsid w:val="00F705D3"/>
    <w:rsid w:val="00F835B2"/>
    <w:rsid w:val="00F9124E"/>
    <w:rsid w:val="00F92F98"/>
    <w:rsid w:val="00F94710"/>
    <w:rsid w:val="00FC4954"/>
    <w:rsid w:val="00FC6AA1"/>
    <w:rsid w:val="00FD0150"/>
    <w:rsid w:val="00FD0815"/>
    <w:rsid w:val="00FD40BB"/>
    <w:rsid w:val="00FE72E3"/>
    <w:rsid w:val="00FF0E4E"/>
    <w:rsid w:val="00FF6EE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6D4AA7"/>
  <w15:docId w15:val="{E34E63CD-78C9-4E37-9146-B02C789E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3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736">
      <w:bodyDiv w:val="1"/>
      <w:marLeft w:val="0"/>
      <w:marRight w:val="0"/>
      <w:marTop w:val="0"/>
      <w:marBottom w:val="0"/>
      <w:divBdr>
        <w:top w:val="none" w:sz="0" w:space="0" w:color="auto"/>
        <w:left w:val="none" w:sz="0" w:space="0" w:color="auto"/>
        <w:bottom w:val="none" w:sz="0" w:space="0" w:color="auto"/>
        <w:right w:val="none" w:sz="0" w:space="0" w:color="auto"/>
      </w:divBdr>
    </w:div>
    <w:div w:id="89006342">
      <w:bodyDiv w:val="1"/>
      <w:marLeft w:val="0"/>
      <w:marRight w:val="0"/>
      <w:marTop w:val="0"/>
      <w:marBottom w:val="0"/>
      <w:divBdr>
        <w:top w:val="none" w:sz="0" w:space="0" w:color="auto"/>
        <w:left w:val="none" w:sz="0" w:space="0" w:color="auto"/>
        <w:bottom w:val="none" w:sz="0" w:space="0" w:color="auto"/>
        <w:right w:val="none" w:sz="0" w:space="0" w:color="auto"/>
      </w:divBdr>
    </w:div>
    <w:div w:id="158859339">
      <w:bodyDiv w:val="1"/>
      <w:marLeft w:val="0"/>
      <w:marRight w:val="0"/>
      <w:marTop w:val="0"/>
      <w:marBottom w:val="0"/>
      <w:divBdr>
        <w:top w:val="none" w:sz="0" w:space="0" w:color="auto"/>
        <w:left w:val="none" w:sz="0" w:space="0" w:color="auto"/>
        <w:bottom w:val="none" w:sz="0" w:space="0" w:color="auto"/>
        <w:right w:val="none" w:sz="0" w:space="0" w:color="auto"/>
      </w:divBdr>
    </w:div>
    <w:div w:id="190924566">
      <w:bodyDiv w:val="1"/>
      <w:marLeft w:val="0"/>
      <w:marRight w:val="0"/>
      <w:marTop w:val="0"/>
      <w:marBottom w:val="0"/>
      <w:divBdr>
        <w:top w:val="none" w:sz="0" w:space="0" w:color="auto"/>
        <w:left w:val="none" w:sz="0" w:space="0" w:color="auto"/>
        <w:bottom w:val="none" w:sz="0" w:space="0" w:color="auto"/>
        <w:right w:val="none" w:sz="0" w:space="0" w:color="auto"/>
      </w:divBdr>
    </w:div>
    <w:div w:id="212011304">
      <w:bodyDiv w:val="1"/>
      <w:marLeft w:val="0"/>
      <w:marRight w:val="0"/>
      <w:marTop w:val="0"/>
      <w:marBottom w:val="0"/>
      <w:divBdr>
        <w:top w:val="none" w:sz="0" w:space="0" w:color="auto"/>
        <w:left w:val="none" w:sz="0" w:space="0" w:color="auto"/>
        <w:bottom w:val="none" w:sz="0" w:space="0" w:color="auto"/>
        <w:right w:val="none" w:sz="0" w:space="0" w:color="auto"/>
      </w:divBdr>
    </w:div>
    <w:div w:id="212082778">
      <w:bodyDiv w:val="1"/>
      <w:marLeft w:val="0"/>
      <w:marRight w:val="0"/>
      <w:marTop w:val="0"/>
      <w:marBottom w:val="0"/>
      <w:divBdr>
        <w:top w:val="none" w:sz="0" w:space="0" w:color="auto"/>
        <w:left w:val="none" w:sz="0" w:space="0" w:color="auto"/>
        <w:bottom w:val="none" w:sz="0" w:space="0" w:color="auto"/>
        <w:right w:val="none" w:sz="0" w:space="0" w:color="auto"/>
      </w:divBdr>
    </w:div>
    <w:div w:id="214051220">
      <w:bodyDiv w:val="1"/>
      <w:marLeft w:val="0"/>
      <w:marRight w:val="0"/>
      <w:marTop w:val="0"/>
      <w:marBottom w:val="0"/>
      <w:divBdr>
        <w:top w:val="none" w:sz="0" w:space="0" w:color="auto"/>
        <w:left w:val="none" w:sz="0" w:space="0" w:color="auto"/>
        <w:bottom w:val="none" w:sz="0" w:space="0" w:color="auto"/>
        <w:right w:val="none" w:sz="0" w:space="0" w:color="auto"/>
      </w:divBdr>
    </w:div>
    <w:div w:id="215824306">
      <w:bodyDiv w:val="1"/>
      <w:marLeft w:val="0"/>
      <w:marRight w:val="0"/>
      <w:marTop w:val="0"/>
      <w:marBottom w:val="0"/>
      <w:divBdr>
        <w:top w:val="none" w:sz="0" w:space="0" w:color="auto"/>
        <w:left w:val="none" w:sz="0" w:space="0" w:color="auto"/>
        <w:bottom w:val="none" w:sz="0" w:space="0" w:color="auto"/>
        <w:right w:val="none" w:sz="0" w:space="0" w:color="auto"/>
      </w:divBdr>
    </w:div>
    <w:div w:id="225147433">
      <w:bodyDiv w:val="1"/>
      <w:marLeft w:val="0"/>
      <w:marRight w:val="0"/>
      <w:marTop w:val="0"/>
      <w:marBottom w:val="0"/>
      <w:divBdr>
        <w:top w:val="none" w:sz="0" w:space="0" w:color="auto"/>
        <w:left w:val="none" w:sz="0" w:space="0" w:color="auto"/>
        <w:bottom w:val="none" w:sz="0" w:space="0" w:color="auto"/>
        <w:right w:val="none" w:sz="0" w:space="0" w:color="auto"/>
      </w:divBdr>
    </w:div>
    <w:div w:id="244073083">
      <w:bodyDiv w:val="1"/>
      <w:marLeft w:val="0"/>
      <w:marRight w:val="0"/>
      <w:marTop w:val="0"/>
      <w:marBottom w:val="0"/>
      <w:divBdr>
        <w:top w:val="none" w:sz="0" w:space="0" w:color="auto"/>
        <w:left w:val="none" w:sz="0" w:space="0" w:color="auto"/>
        <w:bottom w:val="none" w:sz="0" w:space="0" w:color="auto"/>
        <w:right w:val="none" w:sz="0" w:space="0" w:color="auto"/>
      </w:divBdr>
    </w:div>
    <w:div w:id="329867057">
      <w:bodyDiv w:val="1"/>
      <w:marLeft w:val="0"/>
      <w:marRight w:val="0"/>
      <w:marTop w:val="0"/>
      <w:marBottom w:val="0"/>
      <w:divBdr>
        <w:top w:val="none" w:sz="0" w:space="0" w:color="auto"/>
        <w:left w:val="none" w:sz="0" w:space="0" w:color="auto"/>
        <w:bottom w:val="none" w:sz="0" w:space="0" w:color="auto"/>
        <w:right w:val="none" w:sz="0" w:space="0" w:color="auto"/>
      </w:divBdr>
    </w:div>
    <w:div w:id="351611726">
      <w:bodyDiv w:val="1"/>
      <w:marLeft w:val="0"/>
      <w:marRight w:val="0"/>
      <w:marTop w:val="0"/>
      <w:marBottom w:val="0"/>
      <w:divBdr>
        <w:top w:val="none" w:sz="0" w:space="0" w:color="auto"/>
        <w:left w:val="none" w:sz="0" w:space="0" w:color="auto"/>
        <w:bottom w:val="none" w:sz="0" w:space="0" w:color="auto"/>
        <w:right w:val="none" w:sz="0" w:space="0" w:color="auto"/>
      </w:divBdr>
    </w:div>
    <w:div w:id="436601136">
      <w:bodyDiv w:val="1"/>
      <w:marLeft w:val="0"/>
      <w:marRight w:val="0"/>
      <w:marTop w:val="0"/>
      <w:marBottom w:val="0"/>
      <w:divBdr>
        <w:top w:val="none" w:sz="0" w:space="0" w:color="auto"/>
        <w:left w:val="none" w:sz="0" w:space="0" w:color="auto"/>
        <w:bottom w:val="none" w:sz="0" w:space="0" w:color="auto"/>
        <w:right w:val="none" w:sz="0" w:space="0" w:color="auto"/>
      </w:divBdr>
    </w:div>
    <w:div w:id="438066011">
      <w:bodyDiv w:val="1"/>
      <w:marLeft w:val="0"/>
      <w:marRight w:val="0"/>
      <w:marTop w:val="0"/>
      <w:marBottom w:val="0"/>
      <w:divBdr>
        <w:top w:val="none" w:sz="0" w:space="0" w:color="auto"/>
        <w:left w:val="none" w:sz="0" w:space="0" w:color="auto"/>
        <w:bottom w:val="none" w:sz="0" w:space="0" w:color="auto"/>
        <w:right w:val="none" w:sz="0" w:space="0" w:color="auto"/>
      </w:divBdr>
    </w:div>
    <w:div w:id="580414447">
      <w:bodyDiv w:val="1"/>
      <w:marLeft w:val="0"/>
      <w:marRight w:val="0"/>
      <w:marTop w:val="0"/>
      <w:marBottom w:val="0"/>
      <w:divBdr>
        <w:top w:val="none" w:sz="0" w:space="0" w:color="auto"/>
        <w:left w:val="none" w:sz="0" w:space="0" w:color="auto"/>
        <w:bottom w:val="none" w:sz="0" w:space="0" w:color="auto"/>
        <w:right w:val="none" w:sz="0" w:space="0" w:color="auto"/>
      </w:divBdr>
    </w:div>
    <w:div w:id="589196991">
      <w:bodyDiv w:val="1"/>
      <w:marLeft w:val="0"/>
      <w:marRight w:val="0"/>
      <w:marTop w:val="0"/>
      <w:marBottom w:val="0"/>
      <w:divBdr>
        <w:top w:val="none" w:sz="0" w:space="0" w:color="auto"/>
        <w:left w:val="none" w:sz="0" w:space="0" w:color="auto"/>
        <w:bottom w:val="none" w:sz="0" w:space="0" w:color="auto"/>
        <w:right w:val="none" w:sz="0" w:space="0" w:color="auto"/>
      </w:divBdr>
    </w:div>
    <w:div w:id="604266571">
      <w:bodyDiv w:val="1"/>
      <w:marLeft w:val="0"/>
      <w:marRight w:val="0"/>
      <w:marTop w:val="0"/>
      <w:marBottom w:val="0"/>
      <w:divBdr>
        <w:top w:val="none" w:sz="0" w:space="0" w:color="auto"/>
        <w:left w:val="none" w:sz="0" w:space="0" w:color="auto"/>
        <w:bottom w:val="none" w:sz="0" w:space="0" w:color="auto"/>
        <w:right w:val="none" w:sz="0" w:space="0" w:color="auto"/>
      </w:divBdr>
    </w:div>
    <w:div w:id="665059575">
      <w:bodyDiv w:val="1"/>
      <w:marLeft w:val="0"/>
      <w:marRight w:val="0"/>
      <w:marTop w:val="0"/>
      <w:marBottom w:val="0"/>
      <w:divBdr>
        <w:top w:val="none" w:sz="0" w:space="0" w:color="auto"/>
        <w:left w:val="none" w:sz="0" w:space="0" w:color="auto"/>
        <w:bottom w:val="none" w:sz="0" w:space="0" w:color="auto"/>
        <w:right w:val="none" w:sz="0" w:space="0" w:color="auto"/>
      </w:divBdr>
    </w:div>
    <w:div w:id="714354704">
      <w:bodyDiv w:val="1"/>
      <w:marLeft w:val="0"/>
      <w:marRight w:val="0"/>
      <w:marTop w:val="0"/>
      <w:marBottom w:val="0"/>
      <w:divBdr>
        <w:top w:val="none" w:sz="0" w:space="0" w:color="auto"/>
        <w:left w:val="none" w:sz="0" w:space="0" w:color="auto"/>
        <w:bottom w:val="none" w:sz="0" w:space="0" w:color="auto"/>
        <w:right w:val="none" w:sz="0" w:space="0" w:color="auto"/>
      </w:divBdr>
    </w:div>
    <w:div w:id="797795826">
      <w:bodyDiv w:val="1"/>
      <w:marLeft w:val="0"/>
      <w:marRight w:val="0"/>
      <w:marTop w:val="0"/>
      <w:marBottom w:val="0"/>
      <w:divBdr>
        <w:top w:val="none" w:sz="0" w:space="0" w:color="auto"/>
        <w:left w:val="none" w:sz="0" w:space="0" w:color="auto"/>
        <w:bottom w:val="none" w:sz="0" w:space="0" w:color="auto"/>
        <w:right w:val="none" w:sz="0" w:space="0" w:color="auto"/>
      </w:divBdr>
    </w:div>
    <w:div w:id="889076753">
      <w:bodyDiv w:val="1"/>
      <w:marLeft w:val="0"/>
      <w:marRight w:val="0"/>
      <w:marTop w:val="0"/>
      <w:marBottom w:val="0"/>
      <w:divBdr>
        <w:top w:val="none" w:sz="0" w:space="0" w:color="auto"/>
        <w:left w:val="none" w:sz="0" w:space="0" w:color="auto"/>
        <w:bottom w:val="none" w:sz="0" w:space="0" w:color="auto"/>
        <w:right w:val="none" w:sz="0" w:space="0" w:color="auto"/>
      </w:divBdr>
    </w:div>
    <w:div w:id="895747486">
      <w:bodyDiv w:val="1"/>
      <w:marLeft w:val="0"/>
      <w:marRight w:val="0"/>
      <w:marTop w:val="0"/>
      <w:marBottom w:val="0"/>
      <w:divBdr>
        <w:top w:val="none" w:sz="0" w:space="0" w:color="auto"/>
        <w:left w:val="none" w:sz="0" w:space="0" w:color="auto"/>
        <w:bottom w:val="none" w:sz="0" w:space="0" w:color="auto"/>
        <w:right w:val="none" w:sz="0" w:space="0" w:color="auto"/>
      </w:divBdr>
    </w:div>
    <w:div w:id="923298121">
      <w:bodyDiv w:val="1"/>
      <w:marLeft w:val="0"/>
      <w:marRight w:val="0"/>
      <w:marTop w:val="0"/>
      <w:marBottom w:val="0"/>
      <w:divBdr>
        <w:top w:val="none" w:sz="0" w:space="0" w:color="auto"/>
        <w:left w:val="none" w:sz="0" w:space="0" w:color="auto"/>
        <w:bottom w:val="none" w:sz="0" w:space="0" w:color="auto"/>
        <w:right w:val="none" w:sz="0" w:space="0" w:color="auto"/>
      </w:divBdr>
    </w:div>
    <w:div w:id="1030034235">
      <w:bodyDiv w:val="1"/>
      <w:marLeft w:val="0"/>
      <w:marRight w:val="0"/>
      <w:marTop w:val="0"/>
      <w:marBottom w:val="0"/>
      <w:divBdr>
        <w:top w:val="none" w:sz="0" w:space="0" w:color="auto"/>
        <w:left w:val="none" w:sz="0" w:space="0" w:color="auto"/>
        <w:bottom w:val="none" w:sz="0" w:space="0" w:color="auto"/>
        <w:right w:val="none" w:sz="0" w:space="0" w:color="auto"/>
      </w:divBdr>
    </w:div>
    <w:div w:id="1056392870">
      <w:bodyDiv w:val="1"/>
      <w:marLeft w:val="0"/>
      <w:marRight w:val="0"/>
      <w:marTop w:val="0"/>
      <w:marBottom w:val="0"/>
      <w:divBdr>
        <w:top w:val="none" w:sz="0" w:space="0" w:color="auto"/>
        <w:left w:val="none" w:sz="0" w:space="0" w:color="auto"/>
        <w:bottom w:val="none" w:sz="0" w:space="0" w:color="auto"/>
        <w:right w:val="none" w:sz="0" w:space="0" w:color="auto"/>
      </w:divBdr>
    </w:div>
    <w:div w:id="1058823929">
      <w:bodyDiv w:val="1"/>
      <w:marLeft w:val="0"/>
      <w:marRight w:val="0"/>
      <w:marTop w:val="0"/>
      <w:marBottom w:val="0"/>
      <w:divBdr>
        <w:top w:val="none" w:sz="0" w:space="0" w:color="auto"/>
        <w:left w:val="none" w:sz="0" w:space="0" w:color="auto"/>
        <w:bottom w:val="none" w:sz="0" w:space="0" w:color="auto"/>
        <w:right w:val="none" w:sz="0" w:space="0" w:color="auto"/>
      </w:divBdr>
    </w:div>
    <w:div w:id="1085417541">
      <w:bodyDiv w:val="1"/>
      <w:marLeft w:val="0"/>
      <w:marRight w:val="0"/>
      <w:marTop w:val="0"/>
      <w:marBottom w:val="0"/>
      <w:divBdr>
        <w:top w:val="none" w:sz="0" w:space="0" w:color="auto"/>
        <w:left w:val="none" w:sz="0" w:space="0" w:color="auto"/>
        <w:bottom w:val="none" w:sz="0" w:space="0" w:color="auto"/>
        <w:right w:val="none" w:sz="0" w:space="0" w:color="auto"/>
      </w:divBdr>
    </w:div>
    <w:div w:id="1112936552">
      <w:bodyDiv w:val="1"/>
      <w:marLeft w:val="0"/>
      <w:marRight w:val="0"/>
      <w:marTop w:val="0"/>
      <w:marBottom w:val="0"/>
      <w:divBdr>
        <w:top w:val="none" w:sz="0" w:space="0" w:color="auto"/>
        <w:left w:val="none" w:sz="0" w:space="0" w:color="auto"/>
        <w:bottom w:val="none" w:sz="0" w:space="0" w:color="auto"/>
        <w:right w:val="none" w:sz="0" w:space="0" w:color="auto"/>
      </w:divBdr>
    </w:div>
    <w:div w:id="1123309769">
      <w:bodyDiv w:val="1"/>
      <w:marLeft w:val="0"/>
      <w:marRight w:val="0"/>
      <w:marTop w:val="0"/>
      <w:marBottom w:val="0"/>
      <w:divBdr>
        <w:top w:val="none" w:sz="0" w:space="0" w:color="auto"/>
        <w:left w:val="none" w:sz="0" w:space="0" w:color="auto"/>
        <w:bottom w:val="none" w:sz="0" w:space="0" w:color="auto"/>
        <w:right w:val="none" w:sz="0" w:space="0" w:color="auto"/>
      </w:divBdr>
    </w:div>
    <w:div w:id="1131093081">
      <w:bodyDiv w:val="1"/>
      <w:marLeft w:val="0"/>
      <w:marRight w:val="0"/>
      <w:marTop w:val="0"/>
      <w:marBottom w:val="0"/>
      <w:divBdr>
        <w:top w:val="none" w:sz="0" w:space="0" w:color="auto"/>
        <w:left w:val="none" w:sz="0" w:space="0" w:color="auto"/>
        <w:bottom w:val="none" w:sz="0" w:space="0" w:color="auto"/>
        <w:right w:val="none" w:sz="0" w:space="0" w:color="auto"/>
      </w:divBdr>
    </w:div>
    <w:div w:id="1145315494">
      <w:bodyDiv w:val="1"/>
      <w:marLeft w:val="0"/>
      <w:marRight w:val="0"/>
      <w:marTop w:val="0"/>
      <w:marBottom w:val="0"/>
      <w:divBdr>
        <w:top w:val="none" w:sz="0" w:space="0" w:color="auto"/>
        <w:left w:val="none" w:sz="0" w:space="0" w:color="auto"/>
        <w:bottom w:val="none" w:sz="0" w:space="0" w:color="auto"/>
        <w:right w:val="none" w:sz="0" w:space="0" w:color="auto"/>
      </w:divBdr>
    </w:div>
    <w:div w:id="1272857446">
      <w:bodyDiv w:val="1"/>
      <w:marLeft w:val="0"/>
      <w:marRight w:val="0"/>
      <w:marTop w:val="0"/>
      <w:marBottom w:val="0"/>
      <w:divBdr>
        <w:top w:val="none" w:sz="0" w:space="0" w:color="auto"/>
        <w:left w:val="none" w:sz="0" w:space="0" w:color="auto"/>
        <w:bottom w:val="none" w:sz="0" w:space="0" w:color="auto"/>
        <w:right w:val="none" w:sz="0" w:space="0" w:color="auto"/>
      </w:divBdr>
    </w:div>
    <w:div w:id="1347563779">
      <w:bodyDiv w:val="1"/>
      <w:marLeft w:val="0"/>
      <w:marRight w:val="0"/>
      <w:marTop w:val="0"/>
      <w:marBottom w:val="0"/>
      <w:divBdr>
        <w:top w:val="none" w:sz="0" w:space="0" w:color="auto"/>
        <w:left w:val="none" w:sz="0" w:space="0" w:color="auto"/>
        <w:bottom w:val="none" w:sz="0" w:space="0" w:color="auto"/>
        <w:right w:val="none" w:sz="0" w:space="0" w:color="auto"/>
      </w:divBdr>
    </w:div>
    <w:div w:id="1374496255">
      <w:bodyDiv w:val="1"/>
      <w:marLeft w:val="0"/>
      <w:marRight w:val="0"/>
      <w:marTop w:val="0"/>
      <w:marBottom w:val="0"/>
      <w:divBdr>
        <w:top w:val="none" w:sz="0" w:space="0" w:color="auto"/>
        <w:left w:val="none" w:sz="0" w:space="0" w:color="auto"/>
        <w:bottom w:val="none" w:sz="0" w:space="0" w:color="auto"/>
        <w:right w:val="none" w:sz="0" w:space="0" w:color="auto"/>
      </w:divBdr>
    </w:div>
    <w:div w:id="1427068462">
      <w:bodyDiv w:val="1"/>
      <w:marLeft w:val="0"/>
      <w:marRight w:val="0"/>
      <w:marTop w:val="0"/>
      <w:marBottom w:val="0"/>
      <w:divBdr>
        <w:top w:val="none" w:sz="0" w:space="0" w:color="auto"/>
        <w:left w:val="none" w:sz="0" w:space="0" w:color="auto"/>
        <w:bottom w:val="none" w:sz="0" w:space="0" w:color="auto"/>
        <w:right w:val="none" w:sz="0" w:space="0" w:color="auto"/>
      </w:divBdr>
    </w:div>
    <w:div w:id="1492210053">
      <w:bodyDiv w:val="1"/>
      <w:marLeft w:val="0"/>
      <w:marRight w:val="0"/>
      <w:marTop w:val="0"/>
      <w:marBottom w:val="0"/>
      <w:divBdr>
        <w:top w:val="none" w:sz="0" w:space="0" w:color="auto"/>
        <w:left w:val="none" w:sz="0" w:space="0" w:color="auto"/>
        <w:bottom w:val="none" w:sz="0" w:space="0" w:color="auto"/>
        <w:right w:val="none" w:sz="0" w:space="0" w:color="auto"/>
      </w:divBdr>
    </w:div>
    <w:div w:id="1494829952">
      <w:bodyDiv w:val="1"/>
      <w:marLeft w:val="0"/>
      <w:marRight w:val="0"/>
      <w:marTop w:val="0"/>
      <w:marBottom w:val="0"/>
      <w:divBdr>
        <w:top w:val="none" w:sz="0" w:space="0" w:color="auto"/>
        <w:left w:val="none" w:sz="0" w:space="0" w:color="auto"/>
        <w:bottom w:val="none" w:sz="0" w:space="0" w:color="auto"/>
        <w:right w:val="none" w:sz="0" w:space="0" w:color="auto"/>
      </w:divBdr>
    </w:div>
    <w:div w:id="1515536438">
      <w:bodyDiv w:val="1"/>
      <w:marLeft w:val="0"/>
      <w:marRight w:val="0"/>
      <w:marTop w:val="0"/>
      <w:marBottom w:val="0"/>
      <w:divBdr>
        <w:top w:val="none" w:sz="0" w:space="0" w:color="auto"/>
        <w:left w:val="none" w:sz="0" w:space="0" w:color="auto"/>
        <w:bottom w:val="none" w:sz="0" w:space="0" w:color="auto"/>
        <w:right w:val="none" w:sz="0" w:space="0" w:color="auto"/>
      </w:divBdr>
    </w:div>
    <w:div w:id="1537889822">
      <w:bodyDiv w:val="1"/>
      <w:marLeft w:val="0"/>
      <w:marRight w:val="0"/>
      <w:marTop w:val="0"/>
      <w:marBottom w:val="0"/>
      <w:divBdr>
        <w:top w:val="none" w:sz="0" w:space="0" w:color="auto"/>
        <w:left w:val="none" w:sz="0" w:space="0" w:color="auto"/>
        <w:bottom w:val="none" w:sz="0" w:space="0" w:color="auto"/>
        <w:right w:val="none" w:sz="0" w:space="0" w:color="auto"/>
      </w:divBdr>
    </w:div>
    <w:div w:id="1591618608">
      <w:bodyDiv w:val="1"/>
      <w:marLeft w:val="0"/>
      <w:marRight w:val="0"/>
      <w:marTop w:val="0"/>
      <w:marBottom w:val="0"/>
      <w:divBdr>
        <w:top w:val="none" w:sz="0" w:space="0" w:color="auto"/>
        <w:left w:val="none" w:sz="0" w:space="0" w:color="auto"/>
        <w:bottom w:val="none" w:sz="0" w:space="0" w:color="auto"/>
        <w:right w:val="none" w:sz="0" w:space="0" w:color="auto"/>
      </w:divBdr>
    </w:div>
    <w:div w:id="1787312293">
      <w:bodyDiv w:val="1"/>
      <w:marLeft w:val="0"/>
      <w:marRight w:val="0"/>
      <w:marTop w:val="0"/>
      <w:marBottom w:val="0"/>
      <w:divBdr>
        <w:top w:val="none" w:sz="0" w:space="0" w:color="auto"/>
        <w:left w:val="none" w:sz="0" w:space="0" w:color="auto"/>
        <w:bottom w:val="none" w:sz="0" w:space="0" w:color="auto"/>
        <w:right w:val="none" w:sz="0" w:space="0" w:color="auto"/>
      </w:divBdr>
    </w:div>
    <w:div w:id="1832939043">
      <w:bodyDiv w:val="1"/>
      <w:marLeft w:val="0"/>
      <w:marRight w:val="0"/>
      <w:marTop w:val="0"/>
      <w:marBottom w:val="0"/>
      <w:divBdr>
        <w:top w:val="none" w:sz="0" w:space="0" w:color="auto"/>
        <w:left w:val="none" w:sz="0" w:space="0" w:color="auto"/>
        <w:bottom w:val="none" w:sz="0" w:space="0" w:color="auto"/>
        <w:right w:val="none" w:sz="0" w:space="0" w:color="auto"/>
      </w:divBdr>
    </w:div>
    <w:div w:id="1845821609">
      <w:bodyDiv w:val="1"/>
      <w:marLeft w:val="0"/>
      <w:marRight w:val="0"/>
      <w:marTop w:val="0"/>
      <w:marBottom w:val="0"/>
      <w:divBdr>
        <w:top w:val="none" w:sz="0" w:space="0" w:color="auto"/>
        <w:left w:val="none" w:sz="0" w:space="0" w:color="auto"/>
        <w:bottom w:val="none" w:sz="0" w:space="0" w:color="auto"/>
        <w:right w:val="none" w:sz="0" w:space="0" w:color="auto"/>
      </w:divBdr>
    </w:div>
    <w:div w:id="1961063426">
      <w:bodyDiv w:val="1"/>
      <w:marLeft w:val="0"/>
      <w:marRight w:val="0"/>
      <w:marTop w:val="0"/>
      <w:marBottom w:val="0"/>
      <w:divBdr>
        <w:top w:val="none" w:sz="0" w:space="0" w:color="auto"/>
        <w:left w:val="none" w:sz="0" w:space="0" w:color="auto"/>
        <w:bottom w:val="none" w:sz="0" w:space="0" w:color="auto"/>
        <w:right w:val="none" w:sz="0" w:space="0" w:color="auto"/>
      </w:divBdr>
    </w:div>
    <w:div w:id="2079086289">
      <w:bodyDiv w:val="1"/>
      <w:marLeft w:val="0"/>
      <w:marRight w:val="0"/>
      <w:marTop w:val="0"/>
      <w:marBottom w:val="0"/>
      <w:divBdr>
        <w:top w:val="none" w:sz="0" w:space="0" w:color="auto"/>
        <w:left w:val="none" w:sz="0" w:space="0" w:color="auto"/>
        <w:bottom w:val="none" w:sz="0" w:space="0" w:color="auto"/>
        <w:right w:val="none" w:sz="0" w:space="0" w:color="auto"/>
      </w:divBdr>
    </w:div>
    <w:div w:id="2103867223">
      <w:bodyDiv w:val="1"/>
      <w:marLeft w:val="0"/>
      <w:marRight w:val="0"/>
      <w:marTop w:val="0"/>
      <w:marBottom w:val="0"/>
      <w:divBdr>
        <w:top w:val="none" w:sz="0" w:space="0" w:color="auto"/>
        <w:left w:val="none" w:sz="0" w:space="0" w:color="auto"/>
        <w:bottom w:val="none" w:sz="0" w:space="0" w:color="auto"/>
        <w:right w:val="none" w:sz="0" w:space="0" w:color="auto"/>
      </w:divBdr>
    </w:div>
    <w:div w:id="2130542344">
      <w:bodyDiv w:val="1"/>
      <w:marLeft w:val="0"/>
      <w:marRight w:val="0"/>
      <w:marTop w:val="0"/>
      <w:marBottom w:val="0"/>
      <w:divBdr>
        <w:top w:val="none" w:sz="0" w:space="0" w:color="auto"/>
        <w:left w:val="none" w:sz="0" w:space="0" w:color="auto"/>
        <w:bottom w:val="none" w:sz="0" w:space="0" w:color="auto"/>
        <w:right w:val="none" w:sz="0" w:space="0" w:color="auto"/>
      </w:divBdr>
    </w:div>
    <w:div w:id="2136823732">
      <w:bodyDiv w:val="1"/>
      <w:marLeft w:val="0"/>
      <w:marRight w:val="0"/>
      <w:marTop w:val="0"/>
      <w:marBottom w:val="0"/>
      <w:divBdr>
        <w:top w:val="none" w:sz="0" w:space="0" w:color="auto"/>
        <w:left w:val="none" w:sz="0" w:space="0" w:color="auto"/>
        <w:bottom w:val="none" w:sz="0" w:space="0" w:color="auto"/>
        <w:right w:val="none" w:sz="0" w:space="0" w:color="auto"/>
      </w:divBdr>
    </w:div>
    <w:div w:id="213929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CAC8C-7C66-4218-8ED4-E818A058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0</TotalTime>
  <Pages>26</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Maya Evenson</cp:lastModifiedBy>
  <cp:revision>3</cp:revision>
  <cp:lastPrinted>2018-01-10T10:50:00Z</cp:lastPrinted>
  <dcterms:created xsi:type="dcterms:W3CDTF">2018-01-10T10:57:00Z</dcterms:created>
  <dcterms:modified xsi:type="dcterms:W3CDTF">2018-01-10T12:30:00Z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138681430</vt:i4>
  </property>
</Properties>
</file>